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09D0" w:rsidRDefault="00F709D0" w:rsidP="00F709D0">
      <w:pPr>
        <w:pStyle w:val="Textonotapie"/>
        <w:tabs>
          <w:tab w:val="left" w:pos="6379"/>
          <w:tab w:val="left" w:pos="7230"/>
          <w:tab w:val="left" w:pos="8505"/>
        </w:tabs>
        <w:ind w:left="2552" w:right="2126" w:hanging="1276"/>
        <w:jc w:val="both"/>
        <w:rPr>
          <w:rFonts w:ascii="Tahoma" w:hAnsi="Tahoma" w:cs="Tahoma"/>
          <w:b/>
          <w:i/>
          <w:sz w:val="22"/>
          <w:szCs w:val="22"/>
        </w:rPr>
      </w:pPr>
      <w:r w:rsidRPr="00CB0B36">
        <w:rPr>
          <w:rFonts w:ascii="Tahoma" w:hAnsi="Tahoma" w:cs="Tahoma"/>
          <w:b/>
          <w:i/>
          <w:sz w:val="22"/>
          <w:szCs w:val="22"/>
        </w:rPr>
        <w:t xml:space="preserve">Sumilla   : </w:t>
      </w:r>
      <w:r>
        <w:rPr>
          <w:rFonts w:ascii="Tahoma" w:hAnsi="Tahoma" w:cs="Tahoma"/>
          <w:b/>
          <w:i/>
          <w:sz w:val="22"/>
          <w:szCs w:val="22"/>
        </w:rPr>
        <w:t>“</w:t>
      </w:r>
      <w:r w:rsidRPr="004929CB">
        <w:rPr>
          <w:rFonts w:ascii="Tahoma" w:hAnsi="Tahoma" w:cs="Tahoma"/>
          <w:i/>
          <w:sz w:val="21"/>
          <w:szCs w:val="21"/>
        </w:rPr>
        <w:t>Las Bases constituyen las reglas del proceso de selección y es en función de ellas que debe efectuarse la calificación y evaluación de las propuestas, conforme a lo dispuesto en el artículo 26º de la Ley de Contrataciones del Estado, la cual señala que lo establecido en las Bases, en la citada Ley y en el Reglamento de la Ley de Contrataciones del Estado, obliga a todos los postores y a la Entidad convocante.</w:t>
      </w:r>
    </w:p>
    <w:p w:rsidR="00F709D0" w:rsidRPr="00CB0B36" w:rsidRDefault="00F709D0" w:rsidP="00F709D0">
      <w:pPr>
        <w:pStyle w:val="Textonotapie"/>
        <w:tabs>
          <w:tab w:val="left" w:pos="5812"/>
          <w:tab w:val="left" w:pos="5954"/>
          <w:tab w:val="left" w:pos="7230"/>
          <w:tab w:val="left" w:pos="8505"/>
        </w:tabs>
        <w:ind w:left="2552" w:right="2551" w:hanging="1276"/>
        <w:jc w:val="both"/>
        <w:rPr>
          <w:rFonts w:ascii="Tahoma" w:hAnsi="Tahoma" w:cs="Tahoma"/>
          <w:i/>
          <w:sz w:val="22"/>
          <w:szCs w:val="22"/>
        </w:rPr>
      </w:pPr>
    </w:p>
    <w:p w:rsidR="00F709D0" w:rsidRPr="00CB0B36" w:rsidRDefault="00F709D0" w:rsidP="00F709D0">
      <w:pPr>
        <w:pStyle w:val="Textoindependiente3"/>
        <w:tabs>
          <w:tab w:val="left" w:pos="3544"/>
          <w:tab w:val="left" w:pos="7230"/>
          <w:tab w:val="left" w:pos="8505"/>
        </w:tabs>
        <w:spacing w:after="0"/>
        <w:ind w:left="4248"/>
        <w:rPr>
          <w:rFonts w:ascii="Tahoma" w:hAnsi="Tahoma" w:cs="Tahoma"/>
          <w:b/>
          <w:sz w:val="22"/>
          <w:szCs w:val="22"/>
        </w:rPr>
      </w:pPr>
      <w:r w:rsidRPr="00CB0B36">
        <w:rPr>
          <w:rFonts w:ascii="Tahoma" w:hAnsi="Tahoma" w:cs="Tahoma"/>
          <w:b/>
          <w:sz w:val="22"/>
          <w:szCs w:val="22"/>
        </w:rPr>
        <w:t xml:space="preserve">Lima, </w:t>
      </w:r>
      <w:r w:rsidR="00525CA1">
        <w:rPr>
          <w:rFonts w:ascii="Tahoma" w:hAnsi="Tahoma" w:cs="Tahoma"/>
          <w:b/>
          <w:sz w:val="22"/>
          <w:szCs w:val="22"/>
        </w:rPr>
        <w:t>12 de Julio de 2011</w:t>
      </w:r>
    </w:p>
    <w:p w:rsidR="00F709D0" w:rsidRPr="00CB0B36" w:rsidRDefault="00F709D0" w:rsidP="00F709D0">
      <w:pPr>
        <w:pStyle w:val="Textoindependiente"/>
        <w:tabs>
          <w:tab w:val="left" w:pos="540"/>
          <w:tab w:val="left" w:pos="3544"/>
          <w:tab w:val="left" w:pos="7230"/>
          <w:tab w:val="left" w:pos="8505"/>
        </w:tabs>
        <w:rPr>
          <w:rFonts w:cs="Tahoma"/>
          <w:b/>
          <w:szCs w:val="22"/>
          <w:lang w:val="es-PE"/>
        </w:rPr>
      </w:pPr>
    </w:p>
    <w:p w:rsidR="00F709D0" w:rsidRPr="00CB0B36" w:rsidRDefault="00F709D0" w:rsidP="00F709D0">
      <w:pPr>
        <w:pStyle w:val="Textoindependiente"/>
        <w:tabs>
          <w:tab w:val="left" w:pos="540"/>
          <w:tab w:val="left" w:pos="3544"/>
          <w:tab w:val="left" w:pos="7230"/>
          <w:tab w:val="left" w:pos="8505"/>
        </w:tabs>
        <w:rPr>
          <w:rFonts w:cs="Tahoma"/>
          <w:b/>
          <w:szCs w:val="22"/>
          <w:lang w:val="es-PE"/>
        </w:rPr>
      </w:pPr>
    </w:p>
    <w:p w:rsidR="00F709D0" w:rsidRPr="00CB0B36" w:rsidRDefault="00F709D0" w:rsidP="00F709D0">
      <w:pPr>
        <w:autoSpaceDE w:val="0"/>
        <w:autoSpaceDN w:val="0"/>
        <w:adjustRightInd w:val="0"/>
        <w:ind w:firstLine="567"/>
        <w:jc w:val="both"/>
        <w:rPr>
          <w:rFonts w:ascii="Tahoma" w:hAnsi="Tahoma" w:cs="Tahoma"/>
          <w:sz w:val="22"/>
          <w:szCs w:val="22"/>
        </w:rPr>
      </w:pPr>
      <w:r w:rsidRPr="00CB0B36">
        <w:rPr>
          <w:rFonts w:ascii="Tahoma" w:hAnsi="Tahoma" w:cs="Tahoma"/>
          <w:b/>
          <w:sz w:val="22"/>
          <w:szCs w:val="22"/>
        </w:rPr>
        <w:t>Visto</w:t>
      </w:r>
      <w:r w:rsidRPr="00CB0B36">
        <w:rPr>
          <w:rFonts w:ascii="Tahoma" w:hAnsi="Tahoma" w:cs="Tahoma"/>
          <w:sz w:val="22"/>
          <w:szCs w:val="22"/>
        </w:rPr>
        <w:t xml:space="preserve"> en sesión de fecha </w:t>
      </w:r>
      <w:r>
        <w:rPr>
          <w:rFonts w:ascii="Tahoma" w:hAnsi="Tahoma" w:cs="Tahoma"/>
          <w:sz w:val="22"/>
          <w:szCs w:val="22"/>
        </w:rPr>
        <w:t>12 de julio de 2011</w:t>
      </w:r>
      <w:r w:rsidRPr="00CB0B36">
        <w:rPr>
          <w:rFonts w:ascii="Tahoma" w:hAnsi="Tahoma" w:cs="Tahoma"/>
          <w:sz w:val="22"/>
          <w:szCs w:val="22"/>
        </w:rPr>
        <w:t xml:space="preserve"> de la Primera Sala del Tribunal de Contrataciones del Estado el Expediente N° </w:t>
      </w:r>
      <w:r>
        <w:rPr>
          <w:rFonts w:ascii="Tahoma" w:hAnsi="Tahoma" w:cs="Tahoma"/>
          <w:sz w:val="22"/>
          <w:szCs w:val="22"/>
        </w:rPr>
        <w:t>593.2011</w:t>
      </w:r>
      <w:r w:rsidRPr="00CB0B36">
        <w:rPr>
          <w:rFonts w:ascii="Tahoma" w:hAnsi="Tahoma" w:cs="Tahoma"/>
          <w:sz w:val="22"/>
          <w:szCs w:val="22"/>
        </w:rPr>
        <w:t>.T</w:t>
      </w:r>
      <w:r>
        <w:rPr>
          <w:rFonts w:ascii="Tahoma" w:hAnsi="Tahoma" w:cs="Tahoma"/>
          <w:sz w:val="22"/>
          <w:szCs w:val="22"/>
        </w:rPr>
        <w:t>C, sobre el recurso de apelación</w:t>
      </w:r>
      <w:r w:rsidRPr="00CB0B36">
        <w:rPr>
          <w:rFonts w:ascii="Tahoma" w:hAnsi="Tahoma" w:cs="Tahoma"/>
          <w:sz w:val="22"/>
          <w:szCs w:val="22"/>
        </w:rPr>
        <w:t xml:space="preserve"> interpuesto por </w:t>
      </w:r>
      <w:r w:rsidRPr="00755219">
        <w:rPr>
          <w:rFonts w:ascii="Tahoma" w:hAnsi="Tahoma" w:cs="Tahoma"/>
          <w:sz w:val="22"/>
          <w:szCs w:val="22"/>
        </w:rPr>
        <w:t xml:space="preserve">la empresa </w:t>
      </w:r>
      <w:r>
        <w:rPr>
          <w:rFonts w:ascii="Tahoma" w:hAnsi="Tahoma" w:cs="Tahoma"/>
          <w:color w:val="000000"/>
          <w:sz w:val="22"/>
          <w:szCs w:val="22"/>
        </w:rPr>
        <w:t>CORPORACION VALTAKS SCRL</w:t>
      </w:r>
      <w:r w:rsidRPr="00CB0B36">
        <w:rPr>
          <w:rFonts w:ascii="Tahoma" w:hAnsi="Tahoma" w:cs="Tahoma"/>
          <w:color w:val="000000"/>
          <w:sz w:val="22"/>
          <w:szCs w:val="22"/>
        </w:rPr>
        <w:t xml:space="preserve">, </w:t>
      </w:r>
      <w:r w:rsidRPr="00FB5465">
        <w:rPr>
          <w:rFonts w:ascii="Tahoma" w:hAnsi="Tahoma" w:cs="Tahoma"/>
          <w:sz w:val="22"/>
          <w:szCs w:val="22"/>
        </w:rPr>
        <w:t xml:space="preserve">en </w:t>
      </w:r>
      <w:r w:rsidRPr="00FB5465">
        <w:rPr>
          <w:rFonts w:ascii="Tahoma" w:hAnsi="Tahoma" w:cs="Tahoma"/>
          <w:color w:val="000000"/>
          <w:sz w:val="22"/>
          <w:szCs w:val="22"/>
        </w:rPr>
        <w:t>contra d</w:t>
      </w:r>
      <w:r w:rsidRPr="000955BF">
        <w:rPr>
          <w:rFonts w:ascii="Tahoma" w:hAnsi="Tahoma" w:cs="Tahoma"/>
          <w:sz w:val="22"/>
          <w:szCs w:val="22"/>
          <w:lang w:val="es-PE"/>
        </w:rPr>
        <w:t>el otorgamiento de la buena pro del Ítem Nº 5</w:t>
      </w:r>
      <w:r>
        <w:rPr>
          <w:rFonts w:ascii="Tahoma" w:hAnsi="Tahoma" w:cs="Tahoma"/>
          <w:sz w:val="22"/>
          <w:szCs w:val="22"/>
          <w:lang w:val="es-PE"/>
        </w:rPr>
        <w:t>2</w:t>
      </w:r>
      <w:r w:rsidRPr="00FB5465">
        <w:rPr>
          <w:rFonts w:ascii="Tahoma" w:hAnsi="Tahoma" w:cs="Tahoma"/>
          <w:color w:val="000000"/>
          <w:sz w:val="22"/>
          <w:szCs w:val="22"/>
        </w:rPr>
        <w:t xml:space="preserve"> de la </w:t>
      </w:r>
      <w:r w:rsidRPr="007E0F4C">
        <w:rPr>
          <w:rFonts w:ascii="Tahoma" w:hAnsi="Tahoma" w:cs="Tahoma"/>
          <w:sz w:val="22"/>
          <w:szCs w:val="22"/>
        </w:rPr>
        <w:t>Licit</w:t>
      </w:r>
      <w:r>
        <w:rPr>
          <w:rFonts w:ascii="Tahoma" w:hAnsi="Tahoma" w:cs="Tahoma"/>
          <w:sz w:val="22"/>
          <w:szCs w:val="22"/>
        </w:rPr>
        <w:t>ación Pública Nº 004-2010-INSN</w:t>
      </w:r>
      <w:r>
        <w:rPr>
          <w:rFonts w:ascii="Tahoma" w:hAnsi="Tahoma" w:cs="Tahoma"/>
          <w:color w:val="000000"/>
          <w:sz w:val="22"/>
          <w:szCs w:val="22"/>
        </w:rPr>
        <w:t xml:space="preserve">, </w:t>
      </w:r>
      <w:r w:rsidRPr="009D40C7">
        <w:rPr>
          <w:rFonts w:ascii="Tahoma" w:hAnsi="Tahoma" w:cs="Tahoma"/>
          <w:sz w:val="22"/>
          <w:szCs w:val="22"/>
        </w:rPr>
        <w:t xml:space="preserve">para la </w:t>
      </w:r>
      <w:r>
        <w:rPr>
          <w:rFonts w:ascii="Tahoma" w:hAnsi="Tahoma" w:cs="Tahoma"/>
          <w:sz w:val="22"/>
          <w:szCs w:val="22"/>
        </w:rPr>
        <w:t>Adquisición de material médico quirúrgico y hospitalario para los servicios asistenciales del INSN</w:t>
      </w:r>
      <w:r w:rsidRPr="007E0F4C">
        <w:rPr>
          <w:rFonts w:ascii="Tahoma" w:hAnsi="Tahoma" w:cs="Tahoma"/>
          <w:sz w:val="22"/>
          <w:szCs w:val="22"/>
        </w:rPr>
        <w:t>”</w:t>
      </w:r>
      <w:r w:rsidRPr="00CB0B36">
        <w:rPr>
          <w:rFonts w:ascii="Tahoma" w:hAnsi="Tahoma" w:cs="Tahoma"/>
          <w:sz w:val="22"/>
          <w:szCs w:val="22"/>
        </w:rPr>
        <w:t>; y atendiendo a los siguientes:</w:t>
      </w:r>
    </w:p>
    <w:p w:rsidR="00F709D0" w:rsidRPr="00CB0B36" w:rsidRDefault="00F709D0" w:rsidP="00F709D0">
      <w:pPr>
        <w:tabs>
          <w:tab w:val="left" w:pos="3544"/>
          <w:tab w:val="left" w:pos="7230"/>
          <w:tab w:val="left" w:pos="8505"/>
        </w:tabs>
        <w:rPr>
          <w:rFonts w:ascii="Tahoma" w:hAnsi="Tahoma" w:cs="Tahoma"/>
          <w:b/>
          <w:sz w:val="22"/>
          <w:szCs w:val="22"/>
        </w:rPr>
      </w:pPr>
    </w:p>
    <w:p w:rsidR="00F709D0" w:rsidRPr="00CB0B36" w:rsidRDefault="00F709D0" w:rsidP="00F709D0">
      <w:pPr>
        <w:pStyle w:val="Prrafodelista"/>
        <w:tabs>
          <w:tab w:val="left" w:pos="3544"/>
          <w:tab w:val="left" w:pos="7230"/>
          <w:tab w:val="left" w:pos="8505"/>
        </w:tabs>
        <w:ind w:left="567"/>
        <w:jc w:val="both"/>
        <w:rPr>
          <w:rFonts w:ascii="Tahoma" w:hAnsi="Tahoma" w:cs="Tahoma"/>
          <w:b/>
          <w:shadow/>
          <w:sz w:val="22"/>
          <w:szCs w:val="22"/>
        </w:rPr>
      </w:pPr>
      <w:r w:rsidRPr="00CB0B36">
        <w:rPr>
          <w:rFonts w:ascii="Tahoma" w:hAnsi="Tahoma" w:cs="Tahoma"/>
          <w:b/>
          <w:shadow/>
          <w:sz w:val="22"/>
          <w:szCs w:val="22"/>
        </w:rPr>
        <w:t>ANTECEDENTES:</w:t>
      </w:r>
    </w:p>
    <w:p w:rsidR="00F709D0" w:rsidRPr="00CB0B36" w:rsidRDefault="00F709D0" w:rsidP="00F709D0">
      <w:pPr>
        <w:autoSpaceDE w:val="0"/>
        <w:autoSpaceDN w:val="0"/>
        <w:adjustRightInd w:val="0"/>
        <w:jc w:val="both"/>
        <w:rPr>
          <w:rFonts w:ascii="Tahoma" w:hAnsi="Tahoma" w:cs="Tahoma"/>
          <w:b/>
          <w:bCs/>
          <w:sz w:val="22"/>
          <w:szCs w:val="22"/>
        </w:rPr>
      </w:pPr>
    </w:p>
    <w:p w:rsidR="00F709D0" w:rsidRPr="007E0F4C" w:rsidRDefault="00F709D0" w:rsidP="00F709D0">
      <w:pPr>
        <w:numPr>
          <w:ilvl w:val="0"/>
          <w:numId w:val="2"/>
        </w:numPr>
        <w:tabs>
          <w:tab w:val="clear" w:pos="360"/>
        </w:tabs>
        <w:ind w:left="567" w:hanging="567"/>
        <w:jc w:val="both"/>
        <w:rPr>
          <w:rFonts w:ascii="Tahoma" w:hAnsi="Tahoma" w:cs="Tahoma"/>
          <w:sz w:val="22"/>
          <w:szCs w:val="22"/>
        </w:rPr>
      </w:pPr>
      <w:r>
        <w:rPr>
          <w:rFonts w:ascii="Tahoma" w:hAnsi="Tahoma" w:cs="Tahoma"/>
          <w:sz w:val="22"/>
          <w:szCs w:val="22"/>
        </w:rPr>
        <w:t>El 04 de noviembre del 2010</w:t>
      </w:r>
      <w:r w:rsidRPr="007E0F4C">
        <w:rPr>
          <w:rFonts w:ascii="Tahoma" w:hAnsi="Tahoma" w:cs="Tahoma"/>
          <w:sz w:val="22"/>
          <w:szCs w:val="22"/>
        </w:rPr>
        <w:t xml:space="preserve">, el </w:t>
      </w:r>
      <w:r w:rsidRPr="00E766C1">
        <w:rPr>
          <w:rFonts w:ascii="Tahoma" w:hAnsi="Tahoma" w:cs="Tahoma"/>
          <w:spacing w:val="-3"/>
          <w:sz w:val="22"/>
          <w:szCs w:val="22"/>
        </w:rPr>
        <w:t>INSTITUTO NACIONAL DE SALUD DEL NIÑO</w:t>
      </w:r>
      <w:r w:rsidRPr="007E0F4C">
        <w:rPr>
          <w:rFonts w:ascii="Tahoma" w:hAnsi="Tahoma" w:cs="Tahoma"/>
          <w:sz w:val="22"/>
          <w:szCs w:val="22"/>
        </w:rPr>
        <w:t>, en adelante la Entidad, convocó la Licit</w:t>
      </w:r>
      <w:r>
        <w:rPr>
          <w:rFonts w:ascii="Tahoma" w:hAnsi="Tahoma" w:cs="Tahoma"/>
          <w:sz w:val="22"/>
          <w:szCs w:val="22"/>
        </w:rPr>
        <w:t>ación Pública Nº 004-2010-INSN, por relación de ítems</w:t>
      </w:r>
      <w:r w:rsidRPr="007E0F4C">
        <w:rPr>
          <w:rFonts w:ascii="Tahoma" w:hAnsi="Tahoma" w:cs="Tahoma"/>
          <w:sz w:val="22"/>
          <w:szCs w:val="22"/>
        </w:rPr>
        <w:t>, para la “</w:t>
      </w:r>
      <w:r>
        <w:rPr>
          <w:rFonts w:ascii="Tahoma" w:hAnsi="Tahoma" w:cs="Tahoma"/>
          <w:sz w:val="22"/>
          <w:szCs w:val="22"/>
        </w:rPr>
        <w:t>Adquisición de material médico quirúrgico y hospitalario para los servicios asistenciales del INSN</w:t>
      </w:r>
      <w:r w:rsidRPr="007E0F4C">
        <w:rPr>
          <w:rFonts w:ascii="Tahoma" w:hAnsi="Tahoma" w:cs="Tahoma"/>
          <w:sz w:val="22"/>
          <w:szCs w:val="22"/>
        </w:rPr>
        <w:t>”, con un valor</w:t>
      </w:r>
      <w:r>
        <w:rPr>
          <w:rFonts w:ascii="Tahoma" w:hAnsi="Tahoma" w:cs="Tahoma"/>
          <w:sz w:val="22"/>
          <w:szCs w:val="22"/>
        </w:rPr>
        <w:t xml:space="preserve"> referencial ascendente a S/. 9’971,152.40 (Nueve </w:t>
      </w:r>
      <w:r w:rsidRPr="007E0F4C">
        <w:rPr>
          <w:rFonts w:ascii="Tahoma" w:hAnsi="Tahoma" w:cs="Tahoma"/>
          <w:sz w:val="22"/>
          <w:szCs w:val="22"/>
        </w:rPr>
        <w:t xml:space="preserve">millones </w:t>
      </w:r>
      <w:r>
        <w:rPr>
          <w:rFonts w:ascii="Tahoma" w:hAnsi="Tahoma" w:cs="Tahoma"/>
          <w:sz w:val="22"/>
          <w:szCs w:val="22"/>
        </w:rPr>
        <w:t>novecientos setenta y un mil ciento cincuenta y dos con 40</w:t>
      </w:r>
      <w:r w:rsidRPr="007E0F4C">
        <w:rPr>
          <w:rFonts w:ascii="Tahoma" w:hAnsi="Tahoma" w:cs="Tahoma"/>
          <w:sz w:val="22"/>
          <w:szCs w:val="22"/>
        </w:rPr>
        <w:t>/100 Nuevos Soles)</w:t>
      </w:r>
    </w:p>
    <w:p w:rsidR="00F709D0" w:rsidRPr="007E0F4C" w:rsidRDefault="00F709D0" w:rsidP="00F709D0">
      <w:pPr>
        <w:ind w:left="567"/>
        <w:jc w:val="both"/>
        <w:rPr>
          <w:rFonts w:ascii="Tahoma" w:hAnsi="Tahoma" w:cs="Tahoma"/>
          <w:sz w:val="22"/>
          <w:szCs w:val="22"/>
        </w:rPr>
      </w:pPr>
    </w:p>
    <w:p w:rsidR="00F709D0" w:rsidRPr="007E0F4C" w:rsidRDefault="00F709D0" w:rsidP="00F709D0">
      <w:pPr>
        <w:tabs>
          <w:tab w:val="left" w:pos="567"/>
        </w:tabs>
        <w:ind w:left="567"/>
        <w:jc w:val="both"/>
        <w:rPr>
          <w:rFonts w:ascii="Tahoma" w:hAnsi="Tahoma" w:cs="Tahoma"/>
          <w:sz w:val="22"/>
          <w:szCs w:val="22"/>
          <w:lang w:val="es-PE"/>
        </w:rPr>
      </w:pPr>
      <w:r w:rsidRPr="007E0F4C">
        <w:rPr>
          <w:rFonts w:ascii="Tahoma" w:hAnsi="Tahoma" w:cs="Tahoma"/>
          <w:sz w:val="22"/>
          <w:szCs w:val="22"/>
          <w:lang w:val="es-PE"/>
        </w:rPr>
        <w:t xml:space="preserve">Entre los productos objeto de la contratación se encontraba el ítem </w:t>
      </w:r>
      <w:r>
        <w:rPr>
          <w:rFonts w:ascii="Tahoma" w:hAnsi="Tahoma" w:cs="Tahoma"/>
          <w:sz w:val="22"/>
          <w:szCs w:val="22"/>
          <w:lang w:val="es-PE"/>
        </w:rPr>
        <w:t>Nº 52 – Gorro descartable de</w:t>
      </w:r>
      <w:r w:rsidRPr="007E0F4C">
        <w:rPr>
          <w:rFonts w:ascii="Tahoma" w:hAnsi="Tahoma" w:cs="Tahoma"/>
          <w:sz w:val="22"/>
          <w:szCs w:val="22"/>
          <w:lang w:val="es-PE"/>
        </w:rPr>
        <w:t xml:space="preserve"> </w:t>
      </w:r>
      <w:r>
        <w:rPr>
          <w:rFonts w:ascii="Tahoma" w:hAnsi="Tahoma" w:cs="Tahoma"/>
          <w:sz w:val="22"/>
          <w:szCs w:val="22"/>
          <w:lang w:val="es-PE"/>
        </w:rPr>
        <w:t xml:space="preserve">enfermera </w:t>
      </w:r>
      <w:r w:rsidRPr="007E0F4C">
        <w:rPr>
          <w:rFonts w:ascii="Tahoma" w:hAnsi="Tahoma" w:cs="Tahoma"/>
          <w:sz w:val="22"/>
          <w:szCs w:val="22"/>
          <w:lang w:val="es-PE"/>
        </w:rPr>
        <w:t>por un val</w:t>
      </w:r>
      <w:r>
        <w:rPr>
          <w:rFonts w:ascii="Tahoma" w:hAnsi="Tahoma" w:cs="Tahoma"/>
          <w:sz w:val="22"/>
          <w:szCs w:val="22"/>
          <w:lang w:val="es-PE"/>
        </w:rPr>
        <w:t>or referencial de S/. 59,495.80.</w:t>
      </w:r>
    </w:p>
    <w:p w:rsidR="00F709D0" w:rsidRPr="007E0F4C" w:rsidRDefault="00F709D0" w:rsidP="00F709D0">
      <w:pPr>
        <w:tabs>
          <w:tab w:val="left" w:pos="567"/>
        </w:tabs>
        <w:ind w:left="567"/>
        <w:jc w:val="both"/>
        <w:rPr>
          <w:rFonts w:ascii="Tahoma" w:hAnsi="Tahoma" w:cs="Tahoma"/>
          <w:sz w:val="22"/>
          <w:szCs w:val="22"/>
          <w:lang w:val="es-PE"/>
        </w:rPr>
      </w:pPr>
    </w:p>
    <w:p w:rsidR="00F709D0" w:rsidRPr="007E0F4C" w:rsidRDefault="00F709D0" w:rsidP="00F709D0">
      <w:pPr>
        <w:numPr>
          <w:ilvl w:val="0"/>
          <w:numId w:val="2"/>
        </w:numPr>
        <w:tabs>
          <w:tab w:val="clear" w:pos="360"/>
        </w:tabs>
        <w:ind w:left="567" w:hanging="567"/>
        <w:jc w:val="both"/>
        <w:rPr>
          <w:rFonts w:ascii="Tahoma" w:hAnsi="Tahoma" w:cs="Tahoma"/>
          <w:sz w:val="22"/>
          <w:szCs w:val="22"/>
        </w:rPr>
      </w:pPr>
      <w:r w:rsidRPr="00AE0030">
        <w:rPr>
          <w:rFonts w:ascii="Tahoma" w:hAnsi="Tahoma" w:cs="Tahoma"/>
          <w:color w:val="000000"/>
          <w:sz w:val="22"/>
          <w:szCs w:val="22"/>
        </w:rPr>
        <w:t xml:space="preserve">El </w:t>
      </w:r>
      <w:r>
        <w:rPr>
          <w:rFonts w:ascii="Tahoma" w:hAnsi="Tahoma" w:cs="Tahoma"/>
          <w:color w:val="000000"/>
          <w:sz w:val="22"/>
          <w:szCs w:val="22"/>
        </w:rPr>
        <w:t>11</w:t>
      </w:r>
      <w:r w:rsidRPr="00AE0030">
        <w:rPr>
          <w:rFonts w:ascii="Tahoma" w:hAnsi="Tahoma" w:cs="Tahoma"/>
          <w:color w:val="000000"/>
          <w:sz w:val="22"/>
          <w:szCs w:val="22"/>
        </w:rPr>
        <w:t xml:space="preserve"> de abril del 2011,</w:t>
      </w:r>
      <w:r w:rsidRPr="007E0F4C">
        <w:rPr>
          <w:rFonts w:ascii="Tahoma" w:hAnsi="Tahoma" w:cs="Tahoma"/>
          <w:color w:val="000000"/>
          <w:sz w:val="22"/>
          <w:szCs w:val="22"/>
        </w:rPr>
        <w:t xml:space="preserve"> se llevó a cabo el acto de presentación de pr</w:t>
      </w:r>
      <w:r>
        <w:rPr>
          <w:rFonts w:ascii="Tahoma" w:hAnsi="Tahoma" w:cs="Tahoma"/>
          <w:color w:val="000000"/>
          <w:sz w:val="22"/>
          <w:szCs w:val="22"/>
        </w:rPr>
        <w:t xml:space="preserve">opuestas, siendo que para el ítem Nº </w:t>
      </w:r>
      <w:r w:rsidRPr="007E0F4C">
        <w:rPr>
          <w:rFonts w:ascii="Tahoma" w:hAnsi="Tahoma" w:cs="Tahoma"/>
          <w:color w:val="000000"/>
          <w:sz w:val="22"/>
          <w:szCs w:val="22"/>
        </w:rPr>
        <w:t>5</w:t>
      </w:r>
      <w:r>
        <w:rPr>
          <w:rFonts w:ascii="Tahoma" w:hAnsi="Tahoma" w:cs="Tahoma"/>
          <w:color w:val="000000"/>
          <w:sz w:val="22"/>
          <w:szCs w:val="22"/>
        </w:rPr>
        <w:t>2</w:t>
      </w:r>
      <w:r w:rsidRPr="007E0F4C">
        <w:rPr>
          <w:rFonts w:ascii="Tahoma" w:hAnsi="Tahoma" w:cs="Tahoma"/>
          <w:color w:val="000000"/>
          <w:sz w:val="22"/>
          <w:szCs w:val="22"/>
        </w:rPr>
        <w:t xml:space="preserve"> se presentaron los siguientes po</w:t>
      </w:r>
      <w:r>
        <w:rPr>
          <w:rFonts w:ascii="Tahoma" w:hAnsi="Tahoma" w:cs="Tahoma"/>
          <w:color w:val="000000"/>
          <w:sz w:val="22"/>
          <w:szCs w:val="22"/>
        </w:rPr>
        <w:t>stores: a) Consorcio integrado por las empresas L &amp; M LABORATORIOS E.I.R.L y DIPROHOS E.I.R.L.</w:t>
      </w:r>
      <w:r w:rsidRPr="007E0F4C">
        <w:rPr>
          <w:rFonts w:ascii="Tahoma" w:hAnsi="Tahoma" w:cs="Tahoma"/>
          <w:color w:val="000000"/>
          <w:sz w:val="22"/>
          <w:szCs w:val="22"/>
        </w:rPr>
        <w:t xml:space="preserve">, b) </w:t>
      </w:r>
      <w:r>
        <w:rPr>
          <w:rFonts w:ascii="Tahoma" w:hAnsi="Tahoma" w:cs="Tahoma"/>
          <w:color w:val="000000"/>
          <w:sz w:val="22"/>
          <w:szCs w:val="22"/>
        </w:rPr>
        <w:t>W MEDIC OFFICE E.I.R.L., c) CORPORACION VALTAKS SCRL.</w:t>
      </w:r>
    </w:p>
    <w:p w:rsidR="00F709D0" w:rsidRPr="007E0F4C" w:rsidRDefault="00F709D0" w:rsidP="00F709D0">
      <w:pPr>
        <w:ind w:left="567"/>
        <w:jc w:val="both"/>
        <w:rPr>
          <w:rFonts w:ascii="Tahoma" w:hAnsi="Tahoma" w:cs="Tahoma"/>
          <w:sz w:val="22"/>
          <w:szCs w:val="22"/>
        </w:rPr>
      </w:pPr>
    </w:p>
    <w:p w:rsidR="00F709D0" w:rsidRPr="00755219" w:rsidRDefault="00F709D0" w:rsidP="00F709D0">
      <w:pPr>
        <w:numPr>
          <w:ilvl w:val="0"/>
          <w:numId w:val="2"/>
        </w:numPr>
        <w:tabs>
          <w:tab w:val="clear" w:pos="360"/>
        </w:tabs>
        <w:ind w:left="567" w:hanging="567"/>
        <w:jc w:val="both"/>
        <w:rPr>
          <w:rFonts w:ascii="Tahoma" w:hAnsi="Tahoma" w:cs="Tahoma"/>
          <w:sz w:val="22"/>
          <w:szCs w:val="22"/>
        </w:rPr>
      </w:pPr>
      <w:r w:rsidRPr="007E0F4C">
        <w:rPr>
          <w:rFonts w:ascii="Tahoma" w:hAnsi="Tahoma" w:cs="Tahoma"/>
          <w:sz w:val="22"/>
          <w:szCs w:val="22"/>
          <w:lang w:val="es-PE"/>
        </w:rPr>
        <w:t xml:space="preserve">El </w:t>
      </w:r>
      <w:r>
        <w:rPr>
          <w:rFonts w:ascii="Tahoma" w:hAnsi="Tahoma" w:cs="Tahoma"/>
          <w:sz w:val="22"/>
          <w:szCs w:val="22"/>
          <w:lang w:val="es-PE"/>
        </w:rPr>
        <w:t>27 de abril del 2011</w:t>
      </w:r>
      <w:r w:rsidRPr="007E0F4C">
        <w:rPr>
          <w:rFonts w:ascii="Tahoma" w:hAnsi="Tahoma" w:cs="Tahoma"/>
          <w:sz w:val="22"/>
          <w:szCs w:val="22"/>
          <w:lang w:val="es-PE"/>
        </w:rPr>
        <w:t>, se efectuó el Acto de Apertura de Propuestas Económicas y Otorgamiento de la Buena Pro, la misma que fue adjudicada</w:t>
      </w:r>
      <w:r>
        <w:rPr>
          <w:rFonts w:ascii="Tahoma" w:hAnsi="Tahoma" w:cs="Tahoma"/>
          <w:sz w:val="22"/>
          <w:szCs w:val="22"/>
          <w:lang w:val="es-PE"/>
        </w:rPr>
        <w:t>, respecto al ítem Nº 52, a favor de la</w:t>
      </w:r>
      <w:r w:rsidRPr="007E0F4C">
        <w:rPr>
          <w:rFonts w:ascii="Tahoma" w:hAnsi="Tahoma" w:cs="Tahoma"/>
          <w:sz w:val="22"/>
          <w:szCs w:val="22"/>
          <w:lang w:val="es-PE"/>
        </w:rPr>
        <w:t xml:space="preserve"> </w:t>
      </w:r>
      <w:r>
        <w:rPr>
          <w:rFonts w:ascii="Tahoma" w:hAnsi="Tahoma" w:cs="Tahoma"/>
          <w:sz w:val="22"/>
          <w:szCs w:val="22"/>
          <w:lang w:val="es-PE"/>
        </w:rPr>
        <w:t xml:space="preserve">empresa </w:t>
      </w:r>
      <w:r>
        <w:rPr>
          <w:rFonts w:ascii="Tahoma" w:hAnsi="Tahoma" w:cs="Tahoma"/>
          <w:color w:val="000000"/>
          <w:sz w:val="22"/>
          <w:szCs w:val="22"/>
        </w:rPr>
        <w:t>W MEDIC OFFICE E.I.R.L., en adelante el Adjudicatario</w:t>
      </w:r>
      <w:r w:rsidRPr="007E0F4C">
        <w:rPr>
          <w:rFonts w:ascii="Tahoma" w:hAnsi="Tahoma" w:cs="Tahoma"/>
          <w:color w:val="000000"/>
          <w:sz w:val="22"/>
          <w:szCs w:val="22"/>
        </w:rPr>
        <w:t>, por haber alcanzado el mayor puntaje</w:t>
      </w:r>
      <w:r>
        <w:rPr>
          <w:rFonts w:ascii="Tahoma" w:hAnsi="Tahoma" w:cs="Tahoma"/>
          <w:color w:val="000000"/>
          <w:sz w:val="22"/>
          <w:szCs w:val="22"/>
        </w:rPr>
        <w:t>.</w:t>
      </w:r>
    </w:p>
    <w:p w:rsidR="00F709D0" w:rsidRDefault="00F709D0" w:rsidP="00F709D0">
      <w:pPr>
        <w:pStyle w:val="Prrafodelista"/>
        <w:rPr>
          <w:rFonts w:ascii="Tahoma" w:hAnsi="Tahoma" w:cs="Tahoma"/>
          <w:sz w:val="22"/>
          <w:szCs w:val="22"/>
        </w:rPr>
      </w:pPr>
    </w:p>
    <w:p w:rsidR="00F709D0" w:rsidRPr="000955BF" w:rsidRDefault="00F709D0" w:rsidP="00F709D0">
      <w:pPr>
        <w:numPr>
          <w:ilvl w:val="0"/>
          <w:numId w:val="2"/>
        </w:numPr>
        <w:tabs>
          <w:tab w:val="clear" w:pos="360"/>
        </w:tabs>
        <w:ind w:left="567" w:hanging="567"/>
        <w:jc w:val="both"/>
        <w:rPr>
          <w:rFonts w:ascii="Tahoma" w:hAnsi="Tahoma" w:cs="Tahoma"/>
          <w:sz w:val="22"/>
          <w:szCs w:val="22"/>
        </w:rPr>
      </w:pPr>
      <w:r w:rsidRPr="00755219">
        <w:rPr>
          <w:rFonts w:ascii="Tahoma" w:hAnsi="Tahoma" w:cs="Tahoma"/>
          <w:sz w:val="22"/>
          <w:szCs w:val="22"/>
        </w:rPr>
        <w:lastRenderedPageBreak/>
        <w:t xml:space="preserve">Mediante escrito presentado el </w:t>
      </w:r>
      <w:r>
        <w:rPr>
          <w:rFonts w:ascii="Tahoma" w:hAnsi="Tahoma" w:cs="Tahoma"/>
          <w:sz w:val="22"/>
          <w:szCs w:val="22"/>
        </w:rPr>
        <w:t>06 de mayo del 2011</w:t>
      </w:r>
      <w:r w:rsidRPr="00755219">
        <w:rPr>
          <w:rFonts w:ascii="Tahoma" w:hAnsi="Tahoma" w:cs="Tahoma"/>
          <w:sz w:val="22"/>
          <w:szCs w:val="22"/>
        </w:rPr>
        <w:t xml:space="preserve">, la empresa </w:t>
      </w:r>
      <w:r>
        <w:rPr>
          <w:rFonts w:ascii="Tahoma" w:hAnsi="Tahoma" w:cs="Tahoma"/>
          <w:color w:val="000000"/>
          <w:sz w:val="22"/>
          <w:szCs w:val="22"/>
        </w:rPr>
        <w:t>CORPORACION VALTAKS SCRL</w:t>
      </w:r>
      <w:r w:rsidRPr="000955BF">
        <w:rPr>
          <w:rFonts w:ascii="Tahoma" w:hAnsi="Tahoma" w:cs="Tahoma"/>
          <w:sz w:val="22"/>
          <w:szCs w:val="22"/>
        </w:rPr>
        <w:t xml:space="preserve">, en lo sucesivo la Impugnante, interpuso recurso de apelación ante el Tribunal de Contrataciones del Estado, en adelante el Tribunal, </w:t>
      </w:r>
      <w:r w:rsidRPr="000955BF">
        <w:rPr>
          <w:rFonts w:ascii="Tahoma" w:hAnsi="Tahoma" w:cs="Tahoma"/>
          <w:sz w:val="22"/>
          <w:szCs w:val="22"/>
          <w:lang w:val="es-PE"/>
        </w:rPr>
        <w:t xml:space="preserve">contra </w:t>
      </w:r>
      <w:r>
        <w:rPr>
          <w:rFonts w:ascii="Tahoma" w:hAnsi="Tahoma" w:cs="Tahoma"/>
          <w:sz w:val="22"/>
          <w:szCs w:val="22"/>
          <w:lang w:val="es-PE"/>
        </w:rPr>
        <w:t xml:space="preserve">la calificación técnica y </w:t>
      </w:r>
      <w:r w:rsidRPr="000955BF">
        <w:rPr>
          <w:rFonts w:ascii="Tahoma" w:hAnsi="Tahoma" w:cs="Tahoma"/>
          <w:sz w:val="22"/>
          <w:szCs w:val="22"/>
          <w:lang w:val="es-PE"/>
        </w:rPr>
        <w:t>el otorgamiento de la buena pro del Ítem Nº 5</w:t>
      </w:r>
      <w:r>
        <w:rPr>
          <w:rFonts w:ascii="Tahoma" w:hAnsi="Tahoma" w:cs="Tahoma"/>
          <w:sz w:val="22"/>
          <w:szCs w:val="22"/>
          <w:lang w:val="es-PE"/>
        </w:rPr>
        <w:t>2</w:t>
      </w:r>
      <w:r w:rsidRPr="000955BF">
        <w:rPr>
          <w:rFonts w:ascii="Tahoma" w:hAnsi="Tahoma" w:cs="Tahoma"/>
          <w:sz w:val="22"/>
          <w:szCs w:val="22"/>
          <w:lang w:val="es-PE"/>
        </w:rPr>
        <w:t xml:space="preserve"> a favor de</w:t>
      </w:r>
      <w:r>
        <w:rPr>
          <w:rFonts w:ascii="Tahoma" w:hAnsi="Tahoma" w:cs="Tahoma"/>
          <w:sz w:val="22"/>
          <w:szCs w:val="22"/>
          <w:lang w:val="es-PE"/>
        </w:rPr>
        <w:t>l Adjudicatario</w:t>
      </w:r>
      <w:r w:rsidRPr="000955BF">
        <w:rPr>
          <w:rFonts w:ascii="Tahoma" w:hAnsi="Tahoma" w:cs="Tahoma"/>
          <w:sz w:val="22"/>
          <w:szCs w:val="22"/>
          <w:lang w:val="es-PE"/>
        </w:rPr>
        <w:t>, bajo los siguientes argumentos:</w:t>
      </w:r>
    </w:p>
    <w:p w:rsidR="00F709D0" w:rsidRDefault="00F709D0" w:rsidP="00F709D0">
      <w:pPr>
        <w:pStyle w:val="Prrafodelista"/>
        <w:rPr>
          <w:rFonts w:ascii="Tahoma" w:hAnsi="Tahoma" w:cs="Tahoma"/>
          <w:sz w:val="22"/>
          <w:szCs w:val="22"/>
        </w:rPr>
      </w:pPr>
    </w:p>
    <w:p w:rsidR="00F709D0" w:rsidRDefault="00F709D0" w:rsidP="00F709D0">
      <w:pPr>
        <w:pStyle w:val="Prrafodelista"/>
        <w:widowControl w:val="0"/>
        <w:numPr>
          <w:ilvl w:val="0"/>
          <w:numId w:val="3"/>
        </w:numPr>
        <w:suppressAutoHyphens/>
        <w:ind w:left="1134" w:hanging="567"/>
        <w:jc w:val="both"/>
        <w:rPr>
          <w:rFonts w:ascii="Tahoma" w:hAnsi="Tahoma" w:cs="Tahoma"/>
          <w:sz w:val="22"/>
          <w:szCs w:val="22"/>
        </w:rPr>
      </w:pPr>
      <w:r>
        <w:rPr>
          <w:rFonts w:ascii="Tahoma" w:hAnsi="Tahoma" w:cs="Tahoma"/>
          <w:sz w:val="22"/>
          <w:szCs w:val="22"/>
        </w:rPr>
        <w:t>No debió haber sido admitida la propuesta del Adjudicatario, toda vez que a folio 81 de su propuesta técnica presentó el Protocolo de Análisis del ítem Nº 52, el mismo que no cumple con señalar la farmacopea actualizada a la que se acogen para su fabricación, el tipo de material empleado para su confección, conforme lo dispone las Bases Integradas en el inciso h) de los documentos de presentación obligatoria del Sobre Nº 1.- Propuesta técnica del numeral 2.8.1 de la Sección de las Bases Integradas, de conformidad a lo dispuesto en el literal d) del artículo 29 del Decreto Supremo Nº 010-97-SA y su modificatorio artículo 1 del Decreto Supremo 020-2001-SA.</w:t>
      </w:r>
    </w:p>
    <w:p w:rsidR="00F709D0" w:rsidRDefault="00F709D0" w:rsidP="00F709D0">
      <w:pPr>
        <w:pStyle w:val="Prrafodelista"/>
        <w:ind w:left="1134"/>
        <w:jc w:val="both"/>
        <w:rPr>
          <w:rFonts w:ascii="Tahoma" w:hAnsi="Tahoma" w:cs="Tahoma"/>
          <w:sz w:val="22"/>
          <w:szCs w:val="22"/>
        </w:rPr>
      </w:pPr>
    </w:p>
    <w:p w:rsidR="00F709D0" w:rsidRDefault="00F709D0" w:rsidP="00F709D0">
      <w:pPr>
        <w:pStyle w:val="Prrafodelista"/>
        <w:widowControl w:val="0"/>
        <w:numPr>
          <w:ilvl w:val="0"/>
          <w:numId w:val="3"/>
        </w:numPr>
        <w:suppressAutoHyphens/>
        <w:ind w:left="1134" w:hanging="567"/>
        <w:jc w:val="both"/>
        <w:rPr>
          <w:rFonts w:ascii="Tahoma" w:hAnsi="Tahoma" w:cs="Tahoma"/>
          <w:sz w:val="22"/>
          <w:szCs w:val="22"/>
        </w:rPr>
      </w:pPr>
      <w:r>
        <w:rPr>
          <w:rFonts w:ascii="Tahoma" w:hAnsi="Tahoma" w:cs="Tahoma"/>
          <w:sz w:val="22"/>
          <w:szCs w:val="22"/>
        </w:rPr>
        <w:t>De lo antes expuesto, se puede apreciar que el Adjudicatario presentó el protocolo de análisis en el cual se hace referencia al ISO 9001:2000 CE; sin embargo, no corresponde a una metodología analítica, muy por el contrario corresponde a un sistema de gestión de calidad de la empresa fabricante, conforme quedó establecido en el numeral 3.2. del Pronunciamiento Nº 056-2011/DTN.</w:t>
      </w:r>
    </w:p>
    <w:p w:rsidR="00F709D0" w:rsidRPr="0026181F" w:rsidRDefault="00F709D0" w:rsidP="00F709D0">
      <w:pPr>
        <w:pStyle w:val="Prrafodelista"/>
        <w:rPr>
          <w:rFonts w:ascii="Tahoma" w:hAnsi="Tahoma" w:cs="Tahoma"/>
          <w:sz w:val="22"/>
          <w:szCs w:val="22"/>
        </w:rPr>
      </w:pPr>
    </w:p>
    <w:p w:rsidR="00F709D0" w:rsidRDefault="00F709D0" w:rsidP="00F709D0">
      <w:pPr>
        <w:pStyle w:val="Prrafodelista"/>
        <w:widowControl w:val="0"/>
        <w:numPr>
          <w:ilvl w:val="0"/>
          <w:numId w:val="3"/>
        </w:numPr>
        <w:suppressAutoHyphens/>
        <w:ind w:left="1134" w:hanging="567"/>
        <w:jc w:val="both"/>
        <w:rPr>
          <w:rFonts w:ascii="Tahoma" w:hAnsi="Tahoma" w:cs="Tahoma"/>
          <w:sz w:val="22"/>
          <w:szCs w:val="22"/>
        </w:rPr>
      </w:pPr>
      <w:r>
        <w:rPr>
          <w:rFonts w:ascii="Tahoma" w:hAnsi="Tahoma" w:cs="Tahoma"/>
          <w:sz w:val="22"/>
          <w:szCs w:val="22"/>
        </w:rPr>
        <w:t>Por otra parte, señaló que también corresponde descalificar al Adjudicatario, debido a que no cumple con acreditar lo dispuesto en el inciso h) del artículo 29 del Decreto Supremo Nº 010-97-SA y su modificatoria Decreto Supremo Nº 020-2001-SA, que establece que el protocolo de análisis debe consignar cuando menos “Los análisis físico – químico y microbiológicos cuando correspondan, señalando las especificaciones limites de aceptación y resultados obtenidos”, toda vez que el protocolo de análisis que obra a folio 81 de la propuesta técnica del Adjudicatario, no cumple con acreditar el material requerido en las especificaciones técnicas de las Bases Integradas que obra en el folio 40 del Capítulo IV, el mismo que está referido al material de tela no tejida SMS.</w:t>
      </w:r>
    </w:p>
    <w:p w:rsidR="00F709D0" w:rsidRPr="000955BF" w:rsidRDefault="00F709D0" w:rsidP="00F709D0">
      <w:pPr>
        <w:jc w:val="both"/>
        <w:rPr>
          <w:rFonts w:ascii="Tahoma" w:hAnsi="Tahoma" w:cs="Tahoma"/>
          <w:sz w:val="22"/>
          <w:szCs w:val="22"/>
        </w:rPr>
      </w:pPr>
    </w:p>
    <w:p w:rsidR="00F709D0" w:rsidRPr="009E1BD5" w:rsidRDefault="00F709D0" w:rsidP="00F709D0">
      <w:pPr>
        <w:pStyle w:val="Prrafodelista"/>
        <w:numPr>
          <w:ilvl w:val="0"/>
          <w:numId w:val="2"/>
        </w:numPr>
        <w:tabs>
          <w:tab w:val="clear" w:pos="360"/>
          <w:tab w:val="num" w:pos="567"/>
        </w:tabs>
        <w:ind w:left="567" w:hanging="567"/>
        <w:contextualSpacing/>
        <w:jc w:val="both"/>
        <w:rPr>
          <w:rFonts w:ascii="Tahoma" w:hAnsi="Tahoma" w:cs="Tahoma"/>
          <w:sz w:val="22"/>
          <w:szCs w:val="22"/>
          <w:lang w:val="es-PE"/>
        </w:rPr>
      </w:pPr>
      <w:r>
        <w:rPr>
          <w:rFonts w:ascii="Tahoma" w:hAnsi="Tahoma" w:cs="Tahoma"/>
          <w:sz w:val="22"/>
          <w:szCs w:val="22"/>
        </w:rPr>
        <w:t>El 10 de mayo de 2011</w:t>
      </w:r>
      <w:r w:rsidRPr="007E0F4C">
        <w:rPr>
          <w:rFonts w:ascii="Tahoma" w:hAnsi="Tahoma" w:cs="Tahoma"/>
          <w:sz w:val="22"/>
          <w:szCs w:val="22"/>
        </w:rPr>
        <w:t>, se admite a trámite el Recurso de Apelación y se emplazó a la Entidad para que remita los antecedentes administrativos relativos al proceso de selección.</w:t>
      </w:r>
    </w:p>
    <w:p w:rsidR="00F709D0" w:rsidRPr="009E1BD5" w:rsidRDefault="00F709D0" w:rsidP="00F709D0">
      <w:pPr>
        <w:pStyle w:val="Prrafodelista"/>
        <w:ind w:left="567"/>
        <w:contextualSpacing/>
        <w:jc w:val="both"/>
        <w:rPr>
          <w:rFonts w:ascii="Tahoma" w:hAnsi="Tahoma" w:cs="Tahoma"/>
          <w:sz w:val="22"/>
          <w:szCs w:val="22"/>
          <w:lang w:val="es-PE"/>
        </w:rPr>
      </w:pPr>
    </w:p>
    <w:p w:rsidR="00F709D0" w:rsidRPr="00D41EF4" w:rsidRDefault="00F709D0" w:rsidP="00F709D0">
      <w:pPr>
        <w:pStyle w:val="Prrafodelista"/>
        <w:numPr>
          <w:ilvl w:val="0"/>
          <w:numId w:val="2"/>
        </w:numPr>
        <w:tabs>
          <w:tab w:val="clear" w:pos="360"/>
          <w:tab w:val="num" w:pos="567"/>
        </w:tabs>
        <w:ind w:left="567" w:hanging="567"/>
        <w:contextualSpacing/>
        <w:jc w:val="both"/>
        <w:rPr>
          <w:rFonts w:ascii="Tahoma" w:hAnsi="Tahoma" w:cs="Tahoma"/>
          <w:sz w:val="22"/>
          <w:szCs w:val="22"/>
          <w:lang w:val="es-PE"/>
        </w:rPr>
      </w:pPr>
      <w:r>
        <w:rPr>
          <w:rFonts w:ascii="Tahoma" w:hAnsi="Tahoma" w:cs="Tahoma"/>
          <w:sz w:val="22"/>
          <w:szCs w:val="22"/>
          <w:lang w:val="es-PE"/>
        </w:rPr>
        <w:t>A través del decreto de fecha 18 de mayo del 2011, se reiteró a la Entidad a fin que remita los antecedentes administrativos.</w:t>
      </w:r>
    </w:p>
    <w:p w:rsidR="00F709D0" w:rsidRPr="009E1BD5" w:rsidRDefault="00F709D0" w:rsidP="00F709D0">
      <w:pPr>
        <w:pStyle w:val="Prrafodelista"/>
        <w:rPr>
          <w:rFonts w:ascii="Tahoma" w:hAnsi="Tahoma" w:cs="Tahoma"/>
          <w:sz w:val="22"/>
          <w:szCs w:val="22"/>
          <w:lang w:val="es-PE"/>
        </w:rPr>
      </w:pPr>
    </w:p>
    <w:p w:rsidR="00F709D0" w:rsidRDefault="00F709D0" w:rsidP="00F709D0">
      <w:pPr>
        <w:pStyle w:val="Prrafodelista"/>
        <w:numPr>
          <w:ilvl w:val="0"/>
          <w:numId w:val="2"/>
        </w:numPr>
        <w:tabs>
          <w:tab w:val="clear" w:pos="360"/>
          <w:tab w:val="num" w:pos="567"/>
        </w:tabs>
        <w:ind w:left="567" w:hanging="567"/>
        <w:contextualSpacing/>
        <w:jc w:val="both"/>
        <w:rPr>
          <w:rFonts w:ascii="Tahoma" w:hAnsi="Tahoma" w:cs="Tahoma"/>
          <w:sz w:val="22"/>
          <w:szCs w:val="22"/>
          <w:lang w:val="es-PE"/>
        </w:rPr>
      </w:pPr>
      <w:r>
        <w:rPr>
          <w:rFonts w:ascii="Tahoma" w:hAnsi="Tahoma" w:cs="Tahoma"/>
          <w:sz w:val="22"/>
          <w:szCs w:val="22"/>
          <w:lang w:val="es-PE"/>
        </w:rPr>
        <w:lastRenderedPageBreak/>
        <w:t>Mediante Oficio Nº 1870-DG-INSN-11 de fecha 19 de mayo del 2011, la Entidad remitió los antecedentes administrativos de manera incompleta al no haberse adjuntado el Informe Técnico Legal.</w:t>
      </w:r>
    </w:p>
    <w:p w:rsidR="00F709D0" w:rsidRPr="001A4AC2" w:rsidRDefault="00F709D0" w:rsidP="00F709D0">
      <w:pPr>
        <w:pStyle w:val="Prrafodelista"/>
        <w:rPr>
          <w:rFonts w:ascii="Tahoma" w:hAnsi="Tahoma" w:cs="Tahoma"/>
          <w:sz w:val="22"/>
          <w:szCs w:val="22"/>
          <w:lang w:val="es-PE"/>
        </w:rPr>
      </w:pPr>
    </w:p>
    <w:p w:rsidR="00F709D0" w:rsidRDefault="00F709D0" w:rsidP="00F709D0">
      <w:pPr>
        <w:pStyle w:val="Prrafodelista"/>
        <w:numPr>
          <w:ilvl w:val="0"/>
          <w:numId w:val="2"/>
        </w:numPr>
        <w:tabs>
          <w:tab w:val="clear" w:pos="360"/>
          <w:tab w:val="num" w:pos="567"/>
        </w:tabs>
        <w:ind w:left="567" w:hanging="567"/>
        <w:contextualSpacing/>
        <w:jc w:val="both"/>
        <w:rPr>
          <w:rFonts w:ascii="Tahoma" w:hAnsi="Tahoma" w:cs="Tahoma"/>
          <w:sz w:val="22"/>
          <w:szCs w:val="22"/>
          <w:lang w:val="es-PE"/>
        </w:rPr>
      </w:pPr>
      <w:r>
        <w:rPr>
          <w:rFonts w:ascii="Tahoma" w:hAnsi="Tahoma" w:cs="Tahoma"/>
          <w:sz w:val="22"/>
          <w:szCs w:val="22"/>
          <w:lang w:val="es-PE"/>
        </w:rPr>
        <w:t>A través del decreto de fecha 24 de mayo del 2011, se remitió el expediente a la Primera Sala del Tribunal.</w:t>
      </w:r>
    </w:p>
    <w:p w:rsidR="00F709D0" w:rsidRPr="001A4AC2" w:rsidRDefault="00F709D0" w:rsidP="00F709D0">
      <w:pPr>
        <w:pStyle w:val="Prrafodelista"/>
        <w:rPr>
          <w:rFonts w:ascii="Tahoma" w:hAnsi="Tahoma" w:cs="Tahoma"/>
          <w:sz w:val="22"/>
          <w:szCs w:val="22"/>
          <w:lang w:val="es-PE"/>
        </w:rPr>
      </w:pPr>
    </w:p>
    <w:p w:rsidR="00F709D0" w:rsidRDefault="00F709D0" w:rsidP="00F709D0">
      <w:pPr>
        <w:pStyle w:val="Prrafodelista"/>
        <w:numPr>
          <w:ilvl w:val="0"/>
          <w:numId w:val="2"/>
        </w:numPr>
        <w:tabs>
          <w:tab w:val="clear" w:pos="360"/>
          <w:tab w:val="num" w:pos="567"/>
        </w:tabs>
        <w:ind w:left="567" w:hanging="567"/>
        <w:contextualSpacing/>
        <w:jc w:val="both"/>
        <w:rPr>
          <w:rFonts w:ascii="Tahoma" w:hAnsi="Tahoma" w:cs="Tahoma"/>
          <w:sz w:val="22"/>
          <w:szCs w:val="22"/>
          <w:lang w:val="es-PE"/>
        </w:rPr>
      </w:pPr>
      <w:r>
        <w:rPr>
          <w:rFonts w:ascii="Tahoma" w:hAnsi="Tahoma" w:cs="Tahoma"/>
          <w:sz w:val="22"/>
          <w:szCs w:val="22"/>
          <w:lang w:val="es-PE"/>
        </w:rPr>
        <w:t>Con escrito presentado el 20 de mayo del 2011, el Adjudicatario señaló lo siguiente:</w:t>
      </w:r>
    </w:p>
    <w:p w:rsidR="00F709D0" w:rsidRPr="008F6CB1" w:rsidRDefault="00F709D0" w:rsidP="00F709D0">
      <w:pPr>
        <w:rPr>
          <w:rFonts w:ascii="Tahoma" w:hAnsi="Tahoma" w:cs="Tahoma"/>
          <w:sz w:val="22"/>
          <w:szCs w:val="22"/>
          <w:lang w:val="es-PE"/>
        </w:rPr>
      </w:pPr>
    </w:p>
    <w:p w:rsidR="00F709D0" w:rsidRDefault="00F709D0" w:rsidP="00F709D0">
      <w:pPr>
        <w:pStyle w:val="Prrafodelista"/>
        <w:numPr>
          <w:ilvl w:val="0"/>
          <w:numId w:val="11"/>
        </w:numPr>
        <w:ind w:left="1134" w:hanging="567"/>
        <w:contextualSpacing/>
        <w:jc w:val="both"/>
        <w:rPr>
          <w:rFonts w:ascii="Tahoma" w:hAnsi="Tahoma" w:cs="Tahoma"/>
          <w:sz w:val="22"/>
          <w:szCs w:val="22"/>
          <w:lang w:val="es-PE"/>
        </w:rPr>
      </w:pPr>
      <w:r>
        <w:rPr>
          <w:rFonts w:ascii="Tahoma" w:hAnsi="Tahoma" w:cs="Tahoma"/>
          <w:sz w:val="22"/>
          <w:szCs w:val="22"/>
          <w:lang w:val="es-PE"/>
        </w:rPr>
        <w:t>De los incisos g) y h) de los documentos de presentación obligatoria del Sobre Nº 1: Propuesta Técnica del numeral 2.8.1 se puede inferir que todos los productos que están incluidos en el Listado de la clasificación de insumos, instrumental y equipo médico quirúrgico u odontológico, necesitan obligatoriamente contar con Registro Sanitario; por lo tanto, están sujetos a cumplir con lo establecido en los artículos 28 y 29 del Decreto Supremo Nº 010-97-SA y su modificatoria Decreto Supremo Nº 020-2001-SA.</w:t>
      </w:r>
    </w:p>
    <w:p w:rsidR="00F709D0" w:rsidRDefault="00F709D0" w:rsidP="00F709D0">
      <w:pPr>
        <w:pStyle w:val="Prrafodelista"/>
        <w:ind w:left="1134" w:hanging="567"/>
        <w:contextualSpacing/>
        <w:jc w:val="both"/>
        <w:rPr>
          <w:rFonts w:ascii="Tahoma" w:hAnsi="Tahoma" w:cs="Tahoma"/>
          <w:sz w:val="22"/>
          <w:szCs w:val="22"/>
          <w:lang w:val="es-PE"/>
        </w:rPr>
      </w:pPr>
    </w:p>
    <w:p w:rsidR="00F709D0" w:rsidRDefault="00F709D0" w:rsidP="00F709D0">
      <w:pPr>
        <w:pStyle w:val="Prrafodelista"/>
        <w:numPr>
          <w:ilvl w:val="0"/>
          <w:numId w:val="11"/>
        </w:numPr>
        <w:ind w:left="1134" w:hanging="567"/>
        <w:contextualSpacing/>
        <w:jc w:val="both"/>
        <w:rPr>
          <w:rFonts w:ascii="Tahoma" w:hAnsi="Tahoma" w:cs="Tahoma"/>
          <w:sz w:val="22"/>
          <w:szCs w:val="22"/>
          <w:lang w:val="es-PE"/>
        </w:rPr>
      </w:pPr>
      <w:r>
        <w:rPr>
          <w:rFonts w:ascii="Tahoma" w:hAnsi="Tahoma" w:cs="Tahoma"/>
          <w:sz w:val="22"/>
          <w:szCs w:val="22"/>
          <w:lang w:val="es-PE"/>
        </w:rPr>
        <w:t>El producto convocado en el ítem Nº 52, referido al Gorro descartable de enfermera, es un producto NO ESTERIL, que en la actualidad no está sujeto a otorgamiento de Registro Sanitario por parte de la DIGEMID, por no encontrarse incluido a otorgamiento de Registro Sanitario por parte de la DIGEMID, al no estar incluido en el Listado de la Clasificación de Material e insumo, instrumental o equipo de uso Médico Quirúrgico y/u Odontológico, aprobado con Resolución Ministerial Nº 283-98-SA/DM del 19 de mayo de 1998 y ampliatorias; en tal sentido, los establecimientos que los almacenan y fabrican no están sujetos a controles ni certificados exigidas por parte de la DIGEMID, por no ser de su competencia, por lo cual dicho producto no está sujeto a la aplicación de los artículos 28 y 29 del Decreto Supremo Nº 010-97-SA y su modificatoria.</w:t>
      </w:r>
    </w:p>
    <w:p w:rsidR="00F709D0" w:rsidRDefault="00F709D0" w:rsidP="00F709D0">
      <w:pPr>
        <w:pStyle w:val="Prrafodelista"/>
        <w:ind w:left="1134" w:hanging="567"/>
        <w:contextualSpacing/>
        <w:jc w:val="both"/>
        <w:rPr>
          <w:rFonts w:ascii="Tahoma" w:hAnsi="Tahoma" w:cs="Tahoma"/>
          <w:sz w:val="22"/>
          <w:szCs w:val="22"/>
          <w:lang w:val="es-PE"/>
        </w:rPr>
      </w:pPr>
    </w:p>
    <w:p w:rsidR="00F709D0" w:rsidRDefault="00F709D0" w:rsidP="00F709D0">
      <w:pPr>
        <w:pStyle w:val="Prrafodelista"/>
        <w:numPr>
          <w:ilvl w:val="0"/>
          <w:numId w:val="11"/>
        </w:numPr>
        <w:ind w:left="1134" w:hanging="567"/>
        <w:contextualSpacing/>
        <w:jc w:val="both"/>
        <w:rPr>
          <w:rFonts w:ascii="Tahoma" w:hAnsi="Tahoma" w:cs="Tahoma"/>
          <w:sz w:val="22"/>
          <w:szCs w:val="22"/>
          <w:lang w:val="es-PE"/>
        </w:rPr>
      </w:pPr>
      <w:r>
        <w:rPr>
          <w:rFonts w:ascii="Tahoma" w:hAnsi="Tahoma" w:cs="Tahoma"/>
          <w:sz w:val="22"/>
          <w:szCs w:val="22"/>
          <w:lang w:val="es-PE"/>
        </w:rPr>
        <w:t>En tal sentido, el Comité Especial puede válidamente interpretar que tratándose que el producto en cuestión no es estéril, no requiere Registro Sanitario, por lo que no es de aplicación los artículos 28 y 29 del Decreto Supremo Nº 010-97-SA y su modificatoria, razón por la cual se debe dar por admitida su propuesta.</w:t>
      </w:r>
    </w:p>
    <w:p w:rsidR="00F709D0" w:rsidRDefault="00F709D0" w:rsidP="00F709D0">
      <w:pPr>
        <w:pStyle w:val="Prrafodelista"/>
        <w:ind w:left="1134" w:hanging="567"/>
        <w:contextualSpacing/>
        <w:jc w:val="both"/>
        <w:rPr>
          <w:rFonts w:ascii="Tahoma" w:hAnsi="Tahoma" w:cs="Tahoma"/>
          <w:sz w:val="22"/>
          <w:szCs w:val="22"/>
          <w:lang w:val="es-PE"/>
        </w:rPr>
      </w:pPr>
    </w:p>
    <w:p w:rsidR="00F709D0" w:rsidRDefault="00F709D0" w:rsidP="00F709D0">
      <w:pPr>
        <w:pStyle w:val="Prrafodelista"/>
        <w:numPr>
          <w:ilvl w:val="0"/>
          <w:numId w:val="11"/>
        </w:numPr>
        <w:ind w:left="1134" w:hanging="567"/>
        <w:contextualSpacing/>
        <w:jc w:val="both"/>
        <w:rPr>
          <w:rFonts w:ascii="Tahoma" w:hAnsi="Tahoma" w:cs="Tahoma"/>
          <w:sz w:val="22"/>
          <w:szCs w:val="22"/>
          <w:lang w:val="es-PE"/>
        </w:rPr>
      </w:pPr>
      <w:r>
        <w:rPr>
          <w:rFonts w:ascii="Tahoma" w:hAnsi="Tahoma" w:cs="Tahoma"/>
          <w:sz w:val="22"/>
          <w:szCs w:val="22"/>
          <w:lang w:val="es-PE"/>
        </w:rPr>
        <w:t>Por otro lado, respecto al protocolo que obra a fojas 12 de la propuesta técnica de la Impugnante, se consignan una serie de pruebas en el cual no se señala que norma analítica o farmacopea se acogen, excepto la del control microbiológico que señala la USP 32, la cual esta desactualizada, siendo vigente la USP 33, por lo que es contradictoria su apelación.</w:t>
      </w:r>
    </w:p>
    <w:p w:rsidR="00F709D0" w:rsidRDefault="00F709D0" w:rsidP="00F709D0">
      <w:pPr>
        <w:pStyle w:val="Prrafodelista"/>
        <w:ind w:left="1134" w:hanging="567"/>
        <w:contextualSpacing/>
        <w:jc w:val="both"/>
        <w:rPr>
          <w:rFonts w:ascii="Tahoma" w:hAnsi="Tahoma" w:cs="Tahoma"/>
          <w:sz w:val="22"/>
          <w:szCs w:val="22"/>
          <w:lang w:val="es-PE"/>
        </w:rPr>
      </w:pPr>
    </w:p>
    <w:p w:rsidR="00F709D0" w:rsidRDefault="00F709D0" w:rsidP="00F709D0">
      <w:pPr>
        <w:pStyle w:val="Prrafodelista"/>
        <w:numPr>
          <w:ilvl w:val="0"/>
          <w:numId w:val="11"/>
        </w:numPr>
        <w:ind w:left="1134" w:hanging="567"/>
        <w:contextualSpacing/>
        <w:jc w:val="both"/>
        <w:rPr>
          <w:rFonts w:ascii="Tahoma" w:hAnsi="Tahoma" w:cs="Tahoma"/>
          <w:sz w:val="22"/>
          <w:szCs w:val="22"/>
          <w:lang w:val="es-PE"/>
        </w:rPr>
      </w:pPr>
      <w:r>
        <w:rPr>
          <w:rFonts w:ascii="Tahoma" w:hAnsi="Tahoma" w:cs="Tahoma"/>
          <w:sz w:val="22"/>
          <w:szCs w:val="22"/>
          <w:lang w:val="es-PE"/>
        </w:rPr>
        <w:lastRenderedPageBreak/>
        <w:t>Finalmente, señaló que el protocolo de análisis presentado en su propuesta, es emitido por el fabricante, donde se menciona una serie de inspecciones que realizan al producto terminado, según la necesidad y la naturaleza del producto, la cual se encuentra visado por las personas encargadas del centro de control de calidad de la fábrica, asimismo, agregó que las pruebas indicadas en dicho documento son las mínimas exigidas por ser un producto no estéril, por lo cual no corresponde descalificar su propuesta al haber cumplido con acreditar todos lo requerimiento técnicos mínimos requeridos.</w:t>
      </w:r>
    </w:p>
    <w:p w:rsidR="00F709D0" w:rsidRDefault="00F709D0" w:rsidP="00F709D0">
      <w:pPr>
        <w:pStyle w:val="Prrafodelista"/>
        <w:ind w:left="567"/>
        <w:contextualSpacing/>
        <w:jc w:val="both"/>
        <w:rPr>
          <w:rFonts w:ascii="Tahoma" w:hAnsi="Tahoma" w:cs="Tahoma"/>
          <w:sz w:val="22"/>
          <w:szCs w:val="22"/>
          <w:lang w:val="es-PE"/>
        </w:rPr>
      </w:pPr>
    </w:p>
    <w:p w:rsidR="00F709D0" w:rsidRDefault="00F709D0" w:rsidP="00F709D0">
      <w:pPr>
        <w:pStyle w:val="Prrafodelista"/>
        <w:numPr>
          <w:ilvl w:val="0"/>
          <w:numId w:val="2"/>
        </w:numPr>
        <w:tabs>
          <w:tab w:val="clear" w:pos="360"/>
          <w:tab w:val="num" w:pos="567"/>
        </w:tabs>
        <w:ind w:left="567" w:hanging="567"/>
        <w:contextualSpacing/>
        <w:jc w:val="both"/>
        <w:rPr>
          <w:rFonts w:ascii="Tahoma" w:hAnsi="Tahoma" w:cs="Tahoma"/>
          <w:sz w:val="22"/>
          <w:szCs w:val="22"/>
          <w:lang w:val="es-PE"/>
        </w:rPr>
      </w:pPr>
      <w:r>
        <w:rPr>
          <w:rFonts w:ascii="Tahoma" w:hAnsi="Tahoma" w:cs="Tahoma"/>
          <w:sz w:val="22"/>
          <w:szCs w:val="22"/>
          <w:lang w:val="es-PE"/>
        </w:rPr>
        <w:t>Con escrito presentado el 07 de junio del 2011, la Impugnante señaló lo siguiente:</w:t>
      </w:r>
    </w:p>
    <w:p w:rsidR="00F709D0" w:rsidRDefault="00F709D0" w:rsidP="00F709D0">
      <w:pPr>
        <w:tabs>
          <w:tab w:val="num" w:pos="567"/>
        </w:tabs>
        <w:contextualSpacing/>
        <w:jc w:val="both"/>
        <w:rPr>
          <w:rFonts w:ascii="Tahoma" w:hAnsi="Tahoma" w:cs="Tahoma"/>
          <w:sz w:val="22"/>
          <w:szCs w:val="22"/>
          <w:lang w:val="es-PE"/>
        </w:rPr>
      </w:pPr>
    </w:p>
    <w:p w:rsidR="00F709D0" w:rsidRPr="006D1D0D" w:rsidRDefault="00F709D0" w:rsidP="00F709D0">
      <w:pPr>
        <w:pStyle w:val="Prrafodelista"/>
        <w:widowControl w:val="0"/>
        <w:numPr>
          <w:ilvl w:val="0"/>
          <w:numId w:val="12"/>
        </w:numPr>
        <w:suppressAutoHyphens/>
        <w:ind w:left="1134" w:hanging="567"/>
        <w:contextualSpacing/>
        <w:jc w:val="both"/>
        <w:rPr>
          <w:rFonts w:ascii="Tahoma" w:hAnsi="Tahoma" w:cs="Tahoma"/>
          <w:sz w:val="22"/>
          <w:szCs w:val="22"/>
          <w:lang w:val="es-PE"/>
        </w:rPr>
      </w:pPr>
      <w:r>
        <w:rPr>
          <w:rFonts w:ascii="Tahoma" w:hAnsi="Tahoma" w:cs="Tahoma"/>
          <w:sz w:val="22"/>
          <w:szCs w:val="22"/>
          <w:lang w:val="es-PE"/>
        </w:rPr>
        <w:t>La intención de la Adjudicataria</w:t>
      </w:r>
      <w:r w:rsidRPr="006D1D0D">
        <w:rPr>
          <w:rFonts w:ascii="Tahoma" w:hAnsi="Tahoma" w:cs="Tahoma"/>
          <w:sz w:val="22"/>
          <w:szCs w:val="22"/>
          <w:lang w:val="es-PE"/>
        </w:rPr>
        <w:t xml:space="preserve"> es intentar buscar la nulidad del proceso, debido a la apelación presentada, no obstante ello se demuestra que no ha cumplido con acreditar los requisitos técnicos mínimos requeridos en el ítem Nº 52, siendo necesario precisar que no ha acreditado la </w:t>
      </w:r>
      <w:r>
        <w:rPr>
          <w:rFonts w:ascii="Tahoma" w:hAnsi="Tahoma" w:cs="Tahoma"/>
          <w:sz w:val="22"/>
          <w:szCs w:val="22"/>
          <w:lang w:val="es-PE"/>
        </w:rPr>
        <w:t>característica técnica mínima requerida</w:t>
      </w:r>
      <w:r w:rsidRPr="006D1D0D">
        <w:rPr>
          <w:rFonts w:ascii="Tahoma" w:hAnsi="Tahoma" w:cs="Tahoma"/>
          <w:sz w:val="22"/>
          <w:szCs w:val="22"/>
          <w:lang w:val="es-PE"/>
        </w:rPr>
        <w:t>, de conformidad con lo dispuesto en el artículo 61 del Reglamento de la Ley.</w:t>
      </w:r>
    </w:p>
    <w:p w:rsidR="00F709D0" w:rsidRDefault="00F709D0" w:rsidP="00F709D0">
      <w:pPr>
        <w:ind w:left="1134" w:hanging="567"/>
        <w:contextualSpacing/>
        <w:jc w:val="both"/>
        <w:rPr>
          <w:rFonts w:ascii="Tahoma" w:hAnsi="Tahoma" w:cs="Tahoma"/>
          <w:sz w:val="22"/>
          <w:szCs w:val="22"/>
          <w:lang w:val="es-PE"/>
        </w:rPr>
      </w:pPr>
    </w:p>
    <w:p w:rsidR="00F709D0" w:rsidRPr="006D1D0D" w:rsidRDefault="00F709D0" w:rsidP="00F709D0">
      <w:pPr>
        <w:pStyle w:val="Prrafodelista"/>
        <w:widowControl w:val="0"/>
        <w:numPr>
          <w:ilvl w:val="0"/>
          <w:numId w:val="12"/>
        </w:numPr>
        <w:suppressAutoHyphens/>
        <w:ind w:left="1134" w:hanging="567"/>
        <w:contextualSpacing/>
        <w:jc w:val="both"/>
        <w:rPr>
          <w:rFonts w:ascii="Tahoma" w:hAnsi="Tahoma" w:cs="Tahoma"/>
          <w:sz w:val="22"/>
          <w:szCs w:val="22"/>
          <w:lang w:val="es-PE"/>
        </w:rPr>
      </w:pPr>
      <w:r w:rsidRPr="006D1D0D">
        <w:rPr>
          <w:rFonts w:ascii="Tahoma" w:hAnsi="Tahoma" w:cs="Tahoma"/>
          <w:sz w:val="22"/>
          <w:szCs w:val="22"/>
          <w:lang w:val="es-PE"/>
        </w:rPr>
        <w:t>En t</w:t>
      </w:r>
      <w:r>
        <w:rPr>
          <w:rFonts w:ascii="Tahoma" w:hAnsi="Tahoma" w:cs="Tahoma"/>
          <w:sz w:val="22"/>
          <w:szCs w:val="22"/>
          <w:lang w:val="es-PE"/>
        </w:rPr>
        <w:t xml:space="preserve">al sentido, </w:t>
      </w:r>
      <w:r w:rsidRPr="006D1D0D">
        <w:rPr>
          <w:rFonts w:ascii="Tahoma" w:hAnsi="Tahoma" w:cs="Tahoma"/>
          <w:sz w:val="22"/>
          <w:szCs w:val="22"/>
          <w:lang w:val="es-PE"/>
        </w:rPr>
        <w:t>hace referencia que los productos solicitados por la Entidad están exonerados del registro sanitario, BPA y BPM, además de no estar sujetos a controles ni certificaciones exigidas por la DIGEMID, sin embargo, no se puede excluir los controles de calidad realizadas por el fabricante del producto,</w:t>
      </w:r>
      <w:r>
        <w:rPr>
          <w:rFonts w:ascii="Tahoma" w:hAnsi="Tahoma" w:cs="Tahoma"/>
          <w:sz w:val="22"/>
          <w:szCs w:val="22"/>
          <w:lang w:val="es-PE"/>
        </w:rPr>
        <w:t xml:space="preserve"> asimismo, las Bases Integradas</w:t>
      </w:r>
      <w:r w:rsidRPr="006D1D0D">
        <w:rPr>
          <w:rFonts w:ascii="Tahoma" w:hAnsi="Tahoma" w:cs="Tahoma"/>
          <w:sz w:val="22"/>
          <w:szCs w:val="22"/>
          <w:lang w:val="es-PE"/>
        </w:rPr>
        <w:t xml:space="preserve"> no señalan expresamente que los productos que no requieren registro sanitario no están sujetos a la presentación del protocolo de análisis.</w:t>
      </w:r>
    </w:p>
    <w:p w:rsidR="00F709D0" w:rsidRDefault="00F709D0" w:rsidP="00F709D0">
      <w:pPr>
        <w:ind w:left="1134" w:hanging="567"/>
        <w:contextualSpacing/>
        <w:jc w:val="both"/>
        <w:rPr>
          <w:rFonts w:ascii="Tahoma" w:hAnsi="Tahoma" w:cs="Tahoma"/>
          <w:sz w:val="22"/>
          <w:szCs w:val="22"/>
          <w:lang w:val="es-PE"/>
        </w:rPr>
      </w:pPr>
    </w:p>
    <w:p w:rsidR="00F709D0" w:rsidRPr="006D1D0D" w:rsidRDefault="00F709D0" w:rsidP="00F709D0">
      <w:pPr>
        <w:pStyle w:val="Prrafodelista"/>
        <w:widowControl w:val="0"/>
        <w:numPr>
          <w:ilvl w:val="0"/>
          <w:numId w:val="12"/>
        </w:numPr>
        <w:suppressAutoHyphens/>
        <w:ind w:left="1134" w:hanging="567"/>
        <w:contextualSpacing/>
        <w:jc w:val="both"/>
        <w:rPr>
          <w:rFonts w:ascii="Tahoma" w:hAnsi="Tahoma" w:cs="Tahoma"/>
          <w:sz w:val="22"/>
          <w:szCs w:val="22"/>
          <w:lang w:val="es-PE"/>
        </w:rPr>
      </w:pPr>
      <w:r w:rsidRPr="006D1D0D">
        <w:rPr>
          <w:rFonts w:ascii="Tahoma" w:hAnsi="Tahoma" w:cs="Tahoma"/>
          <w:sz w:val="22"/>
          <w:szCs w:val="22"/>
          <w:lang w:val="es-PE"/>
        </w:rPr>
        <w:t>Asimismo, señaló que el protocolo de análisis presentado por la Adjudicataria, no cumple con acreditar el material de elaboración del producto ofertado, es decir Tela no tejida SMS, además, se encuentra redactado parte en ingles y parte en castellano, por lo cual, a fin de realizar un mejor análisis de la parte que se encuentra en idioma inglés, se debió presentar la traducción realizada por una traductora pública juramentada, de conformidad con lo dispuesto en el artículo 62 del Reglamento de la Ley.</w:t>
      </w:r>
    </w:p>
    <w:p w:rsidR="00F709D0" w:rsidRDefault="00F709D0" w:rsidP="00F709D0">
      <w:pPr>
        <w:ind w:left="1134" w:hanging="567"/>
        <w:contextualSpacing/>
        <w:jc w:val="both"/>
        <w:rPr>
          <w:rFonts w:ascii="Tahoma" w:hAnsi="Tahoma" w:cs="Tahoma"/>
          <w:sz w:val="22"/>
          <w:szCs w:val="22"/>
          <w:lang w:val="es-PE"/>
        </w:rPr>
      </w:pPr>
    </w:p>
    <w:p w:rsidR="00F709D0" w:rsidRPr="006D1D0D" w:rsidRDefault="00F709D0" w:rsidP="00F709D0">
      <w:pPr>
        <w:pStyle w:val="Prrafodelista"/>
        <w:widowControl w:val="0"/>
        <w:numPr>
          <w:ilvl w:val="0"/>
          <w:numId w:val="12"/>
        </w:numPr>
        <w:suppressAutoHyphens/>
        <w:ind w:left="1134" w:hanging="567"/>
        <w:contextualSpacing/>
        <w:jc w:val="both"/>
        <w:rPr>
          <w:rFonts w:ascii="Tahoma" w:hAnsi="Tahoma" w:cs="Tahoma"/>
          <w:sz w:val="22"/>
          <w:szCs w:val="22"/>
          <w:lang w:val="es-PE"/>
        </w:rPr>
      </w:pPr>
      <w:r w:rsidRPr="006D1D0D">
        <w:rPr>
          <w:rFonts w:ascii="Tahoma" w:hAnsi="Tahoma" w:cs="Tahoma"/>
          <w:sz w:val="22"/>
          <w:szCs w:val="22"/>
          <w:lang w:val="es-PE"/>
        </w:rPr>
        <w:t>Por otro lado, en el folio 79 de la propuesta técnica del Adjudicatario, presenta incongruencias en las especificaciones técnicas siendo las siguientes:</w:t>
      </w:r>
    </w:p>
    <w:p w:rsidR="00F709D0" w:rsidRDefault="00F709D0" w:rsidP="00F709D0">
      <w:pPr>
        <w:tabs>
          <w:tab w:val="num" w:pos="567"/>
        </w:tabs>
        <w:contextualSpacing/>
        <w:jc w:val="both"/>
        <w:rPr>
          <w:rFonts w:ascii="Tahoma" w:hAnsi="Tahoma" w:cs="Tahoma"/>
          <w:sz w:val="22"/>
          <w:szCs w:val="22"/>
          <w:lang w:val="es-PE"/>
        </w:rPr>
      </w:pPr>
    </w:p>
    <w:p w:rsidR="00F709D0" w:rsidRPr="0001331A" w:rsidRDefault="00F709D0" w:rsidP="00F709D0">
      <w:pPr>
        <w:pStyle w:val="Prrafodelista"/>
        <w:widowControl w:val="0"/>
        <w:numPr>
          <w:ilvl w:val="0"/>
          <w:numId w:val="13"/>
        </w:numPr>
        <w:suppressAutoHyphens/>
        <w:ind w:left="1701" w:hanging="567"/>
        <w:contextualSpacing/>
        <w:jc w:val="both"/>
        <w:rPr>
          <w:rFonts w:ascii="Tahoma" w:hAnsi="Tahoma" w:cs="Tahoma"/>
          <w:sz w:val="22"/>
          <w:szCs w:val="22"/>
          <w:lang w:val="es-PE"/>
        </w:rPr>
      </w:pPr>
      <w:r w:rsidRPr="006D1D0D">
        <w:rPr>
          <w:rFonts w:ascii="Tahoma" w:hAnsi="Tahoma" w:cs="Tahoma"/>
          <w:sz w:val="22"/>
          <w:szCs w:val="22"/>
          <w:lang w:val="es-PE"/>
        </w:rPr>
        <w:t>El Adjudicatario ofertó un producto en envase mediato e inmediato en caja de cartón y luego se contradice al señalar que el producto viene en empaque de bolsa de polietileno de baja densidad.</w:t>
      </w:r>
    </w:p>
    <w:p w:rsidR="00F709D0" w:rsidRDefault="00F709D0" w:rsidP="00F709D0">
      <w:pPr>
        <w:ind w:left="1701" w:hanging="567"/>
        <w:contextualSpacing/>
        <w:jc w:val="both"/>
        <w:rPr>
          <w:rFonts w:ascii="Tahoma" w:hAnsi="Tahoma" w:cs="Tahoma"/>
          <w:sz w:val="22"/>
          <w:szCs w:val="22"/>
          <w:lang w:val="es-PE"/>
        </w:rPr>
      </w:pPr>
    </w:p>
    <w:p w:rsidR="00F709D0" w:rsidRPr="006D1D0D" w:rsidRDefault="00F709D0" w:rsidP="00F709D0">
      <w:pPr>
        <w:pStyle w:val="Prrafodelista"/>
        <w:widowControl w:val="0"/>
        <w:numPr>
          <w:ilvl w:val="0"/>
          <w:numId w:val="13"/>
        </w:numPr>
        <w:suppressAutoHyphens/>
        <w:ind w:left="1701" w:hanging="567"/>
        <w:contextualSpacing/>
        <w:jc w:val="both"/>
        <w:rPr>
          <w:rFonts w:ascii="Tahoma" w:hAnsi="Tahoma" w:cs="Tahoma"/>
          <w:sz w:val="22"/>
          <w:szCs w:val="22"/>
          <w:lang w:val="es-PE"/>
        </w:rPr>
      </w:pPr>
      <w:r w:rsidRPr="006D1D0D">
        <w:rPr>
          <w:rFonts w:ascii="Tahoma" w:hAnsi="Tahoma" w:cs="Tahoma"/>
          <w:sz w:val="22"/>
          <w:szCs w:val="22"/>
          <w:lang w:val="es-PE"/>
        </w:rPr>
        <w:lastRenderedPageBreak/>
        <w:t>El Adjudicatario incluyó a folios 84 hasta el 92 de su propuesta, certificados de calidad internacional con la finalidad de acreditar el cumplimiento de las especificaciones y/o características técnicas mínimas requeridas para el ítem Nº 52; sin embargo, dichos certificados corresponden a mascarillas y mandiles descartables estériles, es decir no corresponden al producto ofertado, razón por la cual se puede presumir que la empresa i</w:t>
      </w:r>
      <w:r>
        <w:rPr>
          <w:rFonts w:ascii="Tahoma" w:hAnsi="Tahoma" w:cs="Tahoma"/>
          <w:sz w:val="22"/>
          <w:szCs w:val="22"/>
          <w:lang w:val="es-PE"/>
        </w:rPr>
        <w:t>mpugnada ha inducido a</w:t>
      </w:r>
      <w:r w:rsidRPr="006D1D0D">
        <w:rPr>
          <w:rFonts w:ascii="Tahoma" w:hAnsi="Tahoma" w:cs="Tahoma"/>
          <w:sz w:val="22"/>
          <w:szCs w:val="22"/>
          <w:lang w:val="es-PE"/>
        </w:rPr>
        <w:t xml:space="preserve"> error al comité especial tratand</w:t>
      </w:r>
      <w:r>
        <w:rPr>
          <w:rFonts w:ascii="Tahoma" w:hAnsi="Tahoma" w:cs="Tahoma"/>
          <w:sz w:val="22"/>
          <w:szCs w:val="22"/>
          <w:lang w:val="es-PE"/>
        </w:rPr>
        <w:t>o de justificar el cumplimiento</w:t>
      </w:r>
      <w:r w:rsidRPr="006D1D0D">
        <w:rPr>
          <w:rFonts w:ascii="Tahoma" w:hAnsi="Tahoma" w:cs="Tahoma"/>
          <w:sz w:val="22"/>
          <w:szCs w:val="22"/>
          <w:lang w:val="es-PE"/>
        </w:rPr>
        <w:t xml:space="preserve"> de las especificaciones y/o características técnicas mínimas del producto ofertado con certificados de calidad que corresponden a otros productos.</w:t>
      </w:r>
    </w:p>
    <w:p w:rsidR="00F709D0" w:rsidRDefault="00F709D0" w:rsidP="00F709D0">
      <w:pPr>
        <w:ind w:left="1701" w:hanging="567"/>
        <w:contextualSpacing/>
        <w:jc w:val="both"/>
        <w:rPr>
          <w:rFonts w:ascii="Tahoma" w:hAnsi="Tahoma" w:cs="Tahoma"/>
          <w:sz w:val="22"/>
          <w:szCs w:val="22"/>
          <w:lang w:val="es-PE"/>
        </w:rPr>
      </w:pPr>
    </w:p>
    <w:p w:rsidR="00F709D0" w:rsidRPr="006D1D0D" w:rsidRDefault="00F709D0" w:rsidP="00F709D0">
      <w:pPr>
        <w:pStyle w:val="Prrafodelista"/>
        <w:widowControl w:val="0"/>
        <w:numPr>
          <w:ilvl w:val="0"/>
          <w:numId w:val="13"/>
        </w:numPr>
        <w:suppressAutoHyphens/>
        <w:ind w:left="1701" w:hanging="567"/>
        <w:contextualSpacing/>
        <w:jc w:val="both"/>
        <w:rPr>
          <w:rFonts w:ascii="Tahoma" w:hAnsi="Tahoma" w:cs="Tahoma"/>
          <w:sz w:val="22"/>
          <w:szCs w:val="22"/>
          <w:lang w:val="es-PE"/>
        </w:rPr>
      </w:pPr>
      <w:r w:rsidRPr="006D1D0D">
        <w:rPr>
          <w:rFonts w:ascii="Tahoma" w:hAnsi="Tahoma" w:cs="Tahoma"/>
          <w:sz w:val="22"/>
          <w:szCs w:val="22"/>
          <w:lang w:val="es-PE"/>
        </w:rPr>
        <w:t>En el cuadernillo individual de la propuesta técnica del Adjudicatario, que obra a folios 78 hasta el 138, no se adjunta documentación técnica alguna que demuestre el cumplimiento de las especificaciones mínimas requeridas para el ítem Nº 52.</w:t>
      </w:r>
    </w:p>
    <w:p w:rsidR="00F709D0" w:rsidRDefault="00F709D0" w:rsidP="00F709D0">
      <w:pPr>
        <w:tabs>
          <w:tab w:val="num" w:pos="567"/>
        </w:tabs>
        <w:contextualSpacing/>
        <w:jc w:val="both"/>
        <w:rPr>
          <w:rFonts w:ascii="Tahoma" w:hAnsi="Tahoma" w:cs="Tahoma"/>
          <w:sz w:val="22"/>
          <w:szCs w:val="22"/>
          <w:lang w:val="es-PE"/>
        </w:rPr>
      </w:pPr>
    </w:p>
    <w:p w:rsidR="00F709D0" w:rsidRDefault="00F709D0" w:rsidP="00F709D0">
      <w:pPr>
        <w:pStyle w:val="Prrafodelista"/>
        <w:numPr>
          <w:ilvl w:val="0"/>
          <w:numId w:val="2"/>
        </w:numPr>
        <w:tabs>
          <w:tab w:val="clear" w:pos="360"/>
          <w:tab w:val="num" w:pos="567"/>
        </w:tabs>
        <w:ind w:left="567" w:hanging="567"/>
        <w:contextualSpacing/>
        <w:jc w:val="both"/>
        <w:rPr>
          <w:rFonts w:ascii="Tahoma" w:hAnsi="Tahoma" w:cs="Tahoma"/>
          <w:sz w:val="22"/>
          <w:szCs w:val="22"/>
          <w:lang w:val="es-PE"/>
        </w:rPr>
      </w:pPr>
      <w:r>
        <w:rPr>
          <w:rFonts w:ascii="Tahoma" w:hAnsi="Tahoma" w:cs="Tahoma"/>
          <w:sz w:val="22"/>
          <w:szCs w:val="22"/>
          <w:lang w:val="es-PE"/>
        </w:rPr>
        <w:t>Mediante decreto de fecha 07 de junio del 2011, se convocó a Audiencia Pública para el 13 de junio del 2011.</w:t>
      </w:r>
    </w:p>
    <w:p w:rsidR="00F709D0" w:rsidRDefault="00F709D0" w:rsidP="00F709D0">
      <w:pPr>
        <w:pStyle w:val="Prrafodelista"/>
        <w:ind w:left="567"/>
        <w:contextualSpacing/>
        <w:jc w:val="both"/>
        <w:rPr>
          <w:rFonts w:ascii="Tahoma" w:hAnsi="Tahoma" w:cs="Tahoma"/>
          <w:sz w:val="22"/>
          <w:szCs w:val="22"/>
          <w:lang w:val="es-PE"/>
        </w:rPr>
      </w:pPr>
    </w:p>
    <w:p w:rsidR="00F709D0" w:rsidRDefault="00F709D0" w:rsidP="00F709D0">
      <w:pPr>
        <w:pStyle w:val="Prrafodelista"/>
        <w:numPr>
          <w:ilvl w:val="0"/>
          <w:numId w:val="2"/>
        </w:numPr>
        <w:tabs>
          <w:tab w:val="clear" w:pos="360"/>
          <w:tab w:val="num" w:pos="567"/>
        </w:tabs>
        <w:ind w:left="567" w:hanging="567"/>
        <w:contextualSpacing/>
        <w:jc w:val="both"/>
        <w:rPr>
          <w:rFonts w:ascii="Tahoma" w:hAnsi="Tahoma" w:cs="Tahoma"/>
          <w:sz w:val="22"/>
          <w:szCs w:val="22"/>
          <w:lang w:val="es-PE"/>
        </w:rPr>
      </w:pPr>
      <w:r>
        <w:rPr>
          <w:rFonts w:ascii="Tahoma" w:hAnsi="Tahoma" w:cs="Tahoma"/>
          <w:sz w:val="22"/>
          <w:szCs w:val="22"/>
          <w:lang w:val="es-PE"/>
        </w:rPr>
        <w:t>Con fecha 13 de junio del 2011, se llevó a cabo la audiencia pública, con la participación de los representantes de la Impugnante y la Adjudicataria.</w:t>
      </w:r>
    </w:p>
    <w:p w:rsidR="00F709D0" w:rsidRDefault="00F709D0" w:rsidP="00F709D0">
      <w:pPr>
        <w:tabs>
          <w:tab w:val="num" w:pos="567"/>
        </w:tabs>
        <w:contextualSpacing/>
        <w:jc w:val="both"/>
        <w:rPr>
          <w:rFonts w:ascii="Tahoma" w:hAnsi="Tahoma" w:cs="Tahoma"/>
          <w:sz w:val="22"/>
          <w:szCs w:val="22"/>
          <w:lang w:val="es-PE"/>
        </w:rPr>
      </w:pPr>
    </w:p>
    <w:p w:rsidR="00F709D0" w:rsidRDefault="00F709D0" w:rsidP="00F709D0">
      <w:pPr>
        <w:pStyle w:val="Prrafodelista"/>
        <w:numPr>
          <w:ilvl w:val="0"/>
          <w:numId w:val="2"/>
        </w:numPr>
        <w:tabs>
          <w:tab w:val="clear" w:pos="360"/>
          <w:tab w:val="num" w:pos="567"/>
        </w:tabs>
        <w:ind w:left="567" w:hanging="567"/>
        <w:contextualSpacing/>
        <w:jc w:val="both"/>
        <w:rPr>
          <w:rFonts w:ascii="Tahoma" w:hAnsi="Tahoma" w:cs="Tahoma"/>
          <w:sz w:val="22"/>
          <w:szCs w:val="22"/>
          <w:lang w:val="es-PE"/>
        </w:rPr>
      </w:pPr>
      <w:r>
        <w:rPr>
          <w:rFonts w:ascii="Tahoma" w:hAnsi="Tahoma" w:cs="Tahoma"/>
          <w:sz w:val="22"/>
          <w:szCs w:val="22"/>
          <w:lang w:val="es-PE"/>
        </w:rPr>
        <w:t>A través del decreto de fecha 13 de junio del 2011, se solicitó información a la Entidad, bajo el siguiente detalle:</w:t>
      </w:r>
    </w:p>
    <w:p w:rsidR="00F709D0" w:rsidRDefault="00F709D0" w:rsidP="00F709D0">
      <w:pPr>
        <w:pStyle w:val="Prrafodelista"/>
        <w:ind w:left="567"/>
        <w:contextualSpacing/>
        <w:jc w:val="both"/>
        <w:rPr>
          <w:rFonts w:ascii="Tahoma" w:hAnsi="Tahoma" w:cs="Tahoma"/>
          <w:sz w:val="22"/>
          <w:szCs w:val="22"/>
          <w:lang w:val="es-PE"/>
        </w:rPr>
      </w:pPr>
    </w:p>
    <w:p w:rsidR="00F709D0" w:rsidRPr="00CE7418" w:rsidRDefault="00F709D0" w:rsidP="00F709D0">
      <w:pPr>
        <w:pStyle w:val="Prrafodelista"/>
        <w:widowControl w:val="0"/>
        <w:numPr>
          <w:ilvl w:val="0"/>
          <w:numId w:val="14"/>
        </w:numPr>
        <w:suppressAutoHyphens/>
        <w:ind w:left="1276" w:right="282" w:hanging="426"/>
        <w:contextualSpacing/>
        <w:jc w:val="both"/>
        <w:rPr>
          <w:rFonts w:ascii="Tahoma" w:hAnsi="Tahoma" w:cs="Tahoma"/>
          <w:i/>
          <w:color w:val="000000"/>
          <w:sz w:val="18"/>
          <w:szCs w:val="18"/>
        </w:rPr>
      </w:pPr>
      <w:r w:rsidRPr="00CE7418">
        <w:rPr>
          <w:rFonts w:ascii="Tahoma" w:hAnsi="Tahoma" w:cs="Tahoma"/>
          <w:i/>
          <w:color w:val="000000"/>
          <w:sz w:val="18"/>
          <w:szCs w:val="18"/>
        </w:rPr>
        <w:t>Sírvase pronunciar sobre cada uno de los puntos planteados por la empresa CORPORACIÓN VALTACKS S.C.R.L. en su recurso de apelación, en relación a los cuestionamientos que se realiza contra la propuesta técnica presentada por la empresa WMEDIC &amp; OFFICCE E.I.R.L. en el Ítem Nº 52 de la Licitación Pública Nº 004-2010-INSN.</w:t>
      </w:r>
    </w:p>
    <w:p w:rsidR="00F709D0" w:rsidRPr="00CE7418" w:rsidRDefault="00F709D0" w:rsidP="00F709D0">
      <w:pPr>
        <w:ind w:left="1276" w:right="282" w:hanging="426"/>
        <w:contextualSpacing/>
        <w:jc w:val="both"/>
        <w:rPr>
          <w:rFonts w:ascii="Tahoma" w:hAnsi="Tahoma" w:cs="Tahoma"/>
          <w:i/>
          <w:color w:val="444444"/>
          <w:sz w:val="18"/>
          <w:szCs w:val="18"/>
        </w:rPr>
      </w:pPr>
    </w:p>
    <w:p w:rsidR="00F709D0" w:rsidRPr="00CE7418" w:rsidRDefault="00F709D0" w:rsidP="00F709D0">
      <w:pPr>
        <w:pStyle w:val="Prrafodelista"/>
        <w:widowControl w:val="0"/>
        <w:numPr>
          <w:ilvl w:val="0"/>
          <w:numId w:val="14"/>
        </w:numPr>
        <w:suppressAutoHyphens/>
        <w:ind w:left="1276" w:right="282" w:hanging="426"/>
        <w:contextualSpacing/>
        <w:jc w:val="both"/>
        <w:rPr>
          <w:rFonts w:ascii="Tahoma" w:hAnsi="Tahoma" w:cs="Tahoma"/>
          <w:i/>
          <w:color w:val="000000"/>
          <w:sz w:val="18"/>
          <w:szCs w:val="18"/>
        </w:rPr>
      </w:pPr>
      <w:r w:rsidRPr="00CE7418">
        <w:rPr>
          <w:rFonts w:ascii="Tahoma" w:hAnsi="Tahoma" w:cs="Tahoma"/>
          <w:i/>
          <w:color w:val="000000"/>
          <w:sz w:val="18"/>
          <w:szCs w:val="18"/>
        </w:rPr>
        <w:t>Sírvase a pronunciar sobre el cuestionamiento realizado por la empresa W MEDIC &amp; OFFICCE E.I.R.L. en relación a los cuestionamientos que se realiza contra la propuesta técnica presentada por la empresa CORPORACIÓN VALTACKS S.C.R.L. en el Ítem Nº 52 de la Licitación Pública Nº 004-2010-INSN, respecto a que el protocolo que obra a fojas 12 de dicha propuesta técnica, consigna una serie de pruebas que no señalan a que norma analítica o farmacopea se acogen, excepto la de control microbiológico que señala la USP-32, la cual esta desactualizada, siendo vigente la USP-33.</w:t>
      </w:r>
    </w:p>
    <w:p w:rsidR="00F709D0" w:rsidRDefault="00F709D0" w:rsidP="00F709D0">
      <w:pPr>
        <w:tabs>
          <w:tab w:val="num" w:pos="567"/>
        </w:tabs>
        <w:contextualSpacing/>
        <w:jc w:val="both"/>
        <w:rPr>
          <w:rFonts w:ascii="Tahoma" w:hAnsi="Tahoma" w:cs="Tahoma"/>
          <w:sz w:val="22"/>
          <w:szCs w:val="22"/>
          <w:lang w:val="es-PE"/>
        </w:rPr>
      </w:pPr>
    </w:p>
    <w:p w:rsidR="00F709D0" w:rsidRDefault="00F709D0" w:rsidP="00F709D0">
      <w:pPr>
        <w:pStyle w:val="Prrafodelista"/>
        <w:numPr>
          <w:ilvl w:val="0"/>
          <w:numId w:val="2"/>
        </w:numPr>
        <w:tabs>
          <w:tab w:val="clear" w:pos="360"/>
          <w:tab w:val="num" w:pos="567"/>
        </w:tabs>
        <w:ind w:left="567" w:hanging="567"/>
        <w:contextualSpacing/>
        <w:jc w:val="both"/>
        <w:rPr>
          <w:rFonts w:ascii="Tahoma" w:hAnsi="Tahoma" w:cs="Tahoma"/>
          <w:sz w:val="22"/>
          <w:szCs w:val="22"/>
          <w:lang w:val="es-PE"/>
        </w:rPr>
      </w:pPr>
      <w:r>
        <w:rPr>
          <w:rFonts w:ascii="Tahoma" w:hAnsi="Tahoma" w:cs="Tahoma"/>
          <w:sz w:val="22"/>
          <w:szCs w:val="22"/>
          <w:lang w:val="es-PE"/>
        </w:rPr>
        <w:t>Mediante escrito presentado el 16 de junio del 2011, el Adjudicatario señaló que el Comité Especial válidamente puede permitir la admisibilidad de su protocolo de análisis, amparándose en las consideraciones vertidas en la Resolución Nº 2710-2008-TC-S4.</w:t>
      </w:r>
    </w:p>
    <w:p w:rsidR="00F709D0" w:rsidRDefault="00F709D0" w:rsidP="00F709D0">
      <w:pPr>
        <w:pStyle w:val="Prrafodelista"/>
        <w:ind w:left="567"/>
        <w:contextualSpacing/>
        <w:jc w:val="both"/>
        <w:rPr>
          <w:rFonts w:ascii="Tahoma" w:hAnsi="Tahoma" w:cs="Tahoma"/>
          <w:sz w:val="22"/>
          <w:szCs w:val="22"/>
          <w:lang w:val="es-PE"/>
        </w:rPr>
      </w:pPr>
    </w:p>
    <w:p w:rsidR="00F709D0" w:rsidRDefault="00F709D0" w:rsidP="00F709D0">
      <w:pPr>
        <w:pStyle w:val="Prrafodelista"/>
        <w:numPr>
          <w:ilvl w:val="0"/>
          <w:numId w:val="2"/>
        </w:numPr>
        <w:tabs>
          <w:tab w:val="clear" w:pos="360"/>
          <w:tab w:val="num" w:pos="567"/>
        </w:tabs>
        <w:ind w:left="567" w:hanging="567"/>
        <w:contextualSpacing/>
        <w:jc w:val="both"/>
        <w:rPr>
          <w:rFonts w:ascii="Tahoma" w:hAnsi="Tahoma" w:cs="Tahoma"/>
          <w:sz w:val="22"/>
          <w:szCs w:val="22"/>
          <w:lang w:val="es-PE"/>
        </w:rPr>
      </w:pPr>
      <w:r>
        <w:rPr>
          <w:rFonts w:ascii="Tahoma" w:hAnsi="Tahoma" w:cs="Tahoma"/>
          <w:sz w:val="22"/>
          <w:szCs w:val="22"/>
          <w:lang w:val="es-PE"/>
        </w:rPr>
        <w:lastRenderedPageBreak/>
        <w:t>A través del decreto de fecha 22 de junio del 2011, se reiteró a la Entidad a fin que cumpla con remitir la documentación e información solicitada mediante decreto de fecha 13 de junio del 2011.</w:t>
      </w:r>
    </w:p>
    <w:p w:rsidR="00F709D0" w:rsidRDefault="00F709D0" w:rsidP="00F709D0">
      <w:pPr>
        <w:pStyle w:val="Prrafodelista"/>
        <w:ind w:left="567"/>
        <w:contextualSpacing/>
        <w:jc w:val="both"/>
        <w:rPr>
          <w:rFonts w:ascii="Tahoma" w:hAnsi="Tahoma" w:cs="Tahoma"/>
          <w:sz w:val="22"/>
          <w:szCs w:val="22"/>
          <w:lang w:val="es-PE"/>
        </w:rPr>
      </w:pPr>
    </w:p>
    <w:p w:rsidR="00F709D0" w:rsidRDefault="00F709D0" w:rsidP="00F709D0">
      <w:pPr>
        <w:pStyle w:val="Prrafodelista"/>
        <w:numPr>
          <w:ilvl w:val="0"/>
          <w:numId w:val="2"/>
        </w:numPr>
        <w:tabs>
          <w:tab w:val="clear" w:pos="360"/>
          <w:tab w:val="num" w:pos="567"/>
        </w:tabs>
        <w:ind w:left="567" w:hanging="567"/>
        <w:contextualSpacing/>
        <w:jc w:val="both"/>
        <w:rPr>
          <w:rFonts w:ascii="Tahoma" w:hAnsi="Tahoma" w:cs="Tahoma"/>
          <w:sz w:val="22"/>
          <w:szCs w:val="22"/>
          <w:lang w:val="es-PE"/>
        </w:rPr>
      </w:pPr>
      <w:r>
        <w:rPr>
          <w:rFonts w:ascii="Tahoma" w:hAnsi="Tahoma" w:cs="Tahoma"/>
          <w:sz w:val="22"/>
          <w:szCs w:val="22"/>
          <w:lang w:val="es-PE"/>
        </w:rPr>
        <w:t>Con escrito presentado el 20 de junio del 2011, la Impugnante ratificó los cuestionamientos contra la propuesta técnica de la Adjudicataria, respecto a que no acreditó el material de elaboración del producto ofertado, el protocolo de análisis presentado se encuentra redactado parte en inglés y castellano y, además, consignó como metodología un Certificado de Gestión de Calidad, agregando, que en el supuesto negado que la Bases contengan un imposible de cumplir, en vista a que el producto ofertado no requiere de protocolo de análisis, se deberá tener en cuenta lo señalado por DIGEMID, en el Oficio Nº 140473-2011-DIGEMID-DAS-ATAG-MINSA de fecha 10 de junio del 2011, en el que se deja a consideración de cada Entidad, establecer los requisitos que deben solicitar para los productos que no requieren registro sanitario, razón por la cual, el protocolo de análisis requerido en las Bases Integradas es de cumplimiento obligatorio para todos los postores.</w:t>
      </w:r>
    </w:p>
    <w:p w:rsidR="00F709D0" w:rsidRDefault="00F709D0" w:rsidP="00F709D0">
      <w:pPr>
        <w:pStyle w:val="Prrafodelista"/>
        <w:ind w:left="567"/>
        <w:contextualSpacing/>
        <w:jc w:val="both"/>
        <w:rPr>
          <w:rFonts w:ascii="Tahoma" w:hAnsi="Tahoma" w:cs="Tahoma"/>
          <w:sz w:val="22"/>
          <w:szCs w:val="22"/>
          <w:lang w:val="es-PE"/>
        </w:rPr>
      </w:pPr>
    </w:p>
    <w:p w:rsidR="00F709D0" w:rsidRPr="00CC6A49" w:rsidRDefault="00F709D0" w:rsidP="00F709D0">
      <w:pPr>
        <w:pStyle w:val="Prrafodelista"/>
        <w:ind w:left="567"/>
        <w:contextualSpacing/>
        <w:jc w:val="both"/>
        <w:rPr>
          <w:rFonts w:ascii="Tahoma" w:hAnsi="Tahoma" w:cs="Tahoma"/>
          <w:sz w:val="22"/>
          <w:szCs w:val="22"/>
          <w:lang w:val="es-PE"/>
        </w:rPr>
      </w:pPr>
      <w:r>
        <w:rPr>
          <w:rFonts w:ascii="Tahoma" w:hAnsi="Tahoma" w:cs="Tahoma"/>
          <w:sz w:val="22"/>
          <w:szCs w:val="22"/>
          <w:lang w:val="es-PE"/>
        </w:rPr>
        <w:t>Por otra parte, respecto al</w:t>
      </w:r>
      <w:r w:rsidRPr="00CC6A49">
        <w:rPr>
          <w:rFonts w:ascii="Tahoma" w:hAnsi="Tahoma" w:cs="Tahoma"/>
          <w:sz w:val="22"/>
          <w:szCs w:val="22"/>
          <w:lang w:val="es-PE"/>
        </w:rPr>
        <w:t xml:space="preserve"> protocolo de análisis presentado como parte de su propuesta técnica, </w:t>
      </w:r>
      <w:r>
        <w:rPr>
          <w:rFonts w:ascii="Tahoma" w:hAnsi="Tahoma" w:cs="Tahoma"/>
          <w:sz w:val="22"/>
          <w:szCs w:val="22"/>
          <w:lang w:val="es-PE"/>
        </w:rPr>
        <w:t>señaló que consignó</w:t>
      </w:r>
      <w:r w:rsidRPr="00CC6A49">
        <w:rPr>
          <w:rFonts w:ascii="Tahoma" w:hAnsi="Tahoma" w:cs="Tahoma"/>
          <w:sz w:val="22"/>
          <w:szCs w:val="22"/>
          <w:lang w:val="es-PE"/>
        </w:rPr>
        <w:t xml:space="preserve"> los tipos de pruebas, las especificaciones técnicas y los resultados obtenidos, asimismo, señaló que si no existe norma analítica o farmacopea de referencia es porque las mismas son organolépticas, es decir que se pueden percibir con los sentidos, salvo la condición biológica que si es necesaria la metodología analítica</w:t>
      </w:r>
      <w:r>
        <w:rPr>
          <w:rFonts w:ascii="Tahoma" w:hAnsi="Tahoma" w:cs="Tahoma"/>
          <w:sz w:val="22"/>
          <w:szCs w:val="22"/>
          <w:lang w:val="es-PE"/>
        </w:rPr>
        <w:t>.</w:t>
      </w:r>
    </w:p>
    <w:p w:rsidR="00F709D0" w:rsidRPr="009B2A0E" w:rsidRDefault="00F709D0" w:rsidP="00F709D0">
      <w:pPr>
        <w:tabs>
          <w:tab w:val="num" w:pos="567"/>
        </w:tabs>
        <w:contextualSpacing/>
        <w:jc w:val="both"/>
        <w:rPr>
          <w:rFonts w:ascii="Tahoma" w:hAnsi="Tahoma" w:cs="Tahoma"/>
          <w:sz w:val="22"/>
          <w:szCs w:val="22"/>
          <w:lang w:val="es-PE"/>
        </w:rPr>
      </w:pPr>
    </w:p>
    <w:p w:rsidR="00F709D0" w:rsidRDefault="00F709D0" w:rsidP="00F709D0">
      <w:pPr>
        <w:ind w:left="567"/>
        <w:contextualSpacing/>
        <w:jc w:val="both"/>
        <w:rPr>
          <w:rFonts w:ascii="Tahoma" w:hAnsi="Tahoma" w:cs="Tahoma"/>
          <w:sz w:val="22"/>
          <w:szCs w:val="22"/>
          <w:lang w:val="es-PE"/>
        </w:rPr>
      </w:pPr>
      <w:r>
        <w:rPr>
          <w:rFonts w:ascii="Tahoma" w:hAnsi="Tahoma" w:cs="Tahoma"/>
          <w:sz w:val="22"/>
          <w:szCs w:val="22"/>
          <w:lang w:val="es-PE"/>
        </w:rPr>
        <w:t>Asimismo, señaló que respecto a la condición biológica, la misma que consigna la USP 32, se encontraba vigente a la fecha de emisión y/o fabricación del producto de conformidad con el comunicado emitido por la USP, en el cual se aprecia que recién la USP 33-NF 28, entró en vigencia a partir del 01 de octubre del 2010, razón por la cual su protocolo de análisis es válido en todos sus extremos.</w:t>
      </w:r>
    </w:p>
    <w:p w:rsidR="00F709D0" w:rsidRDefault="00F709D0" w:rsidP="00F709D0">
      <w:pPr>
        <w:tabs>
          <w:tab w:val="num" w:pos="567"/>
        </w:tabs>
        <w:contextualSpacing/>
        <w:jc w:val="both"/>
        <w:rPr>
          <w:rFonts w:ascii="Tahoma" w:hAnsi="Tahoma" w:cs="Tahoma"/>
          <w:sz w:val="22"/>
          <w:szCs w:val="22"/>
          <w:lang w:val="es-PE"/>
        </w:rPr>
      </w:pPr>
    </w:p>
    <w:p w:rsidR="00F709D0" w:rsidRDefault="00F709D0" w:rsidP="00F709D0">
      <w:pPr>
        <w:pStyle w:val="Prrafodelista"/>
        <w:numPr>
          <w:ilvl w:val="0"/>
          <w:numId w:val="2"/>
        </w:numPr>
        <w:tabs>
          <w:tab w:val="clear" w:pos="360"/>
          <w:tab w:val="num" w:pos="567"/>
        </w:tabs>
        <w:ind w:left="567" w:hanging="567"/>
        <w:contextualSpacing/>
        <w:jc w:val="both"/>
        <w:rPr>
          <w:rFonts w:ascii="Tahoma" w:hAnsi="Tahoma" w:cs="Tahoma"/>
          <w:sz w:val="22"/>
          <w:szCs w:val="22"/>
          <w:lang w:val="es-PE"/>
        </w:rPr>
      </w:pPr>
      <w:r>
        <w:rPr>
          <w:rFonts w:ascii="Tahoma" w:hAnsi="Tahoma" w:cs="Tahoma"/>
          <w:sz w:val="22"/>
          <w:szCs w:val="22"/>
          <w:lang w:val="es-PE"/>
        </w:rPr>
        <w:t>Mediante escrito presentado el 27 de junio del 2011, la Impugnante señaló l</w:t>
      </w:r>
      <w:r w:rsidRPr="00646A41">
        <w:rPr>
          <w:rFonts w:ascii="Tahoma" w:hAnsi="Tahoma" w:cs="Tahoma"/>
          <w:sz w:val="22"/>
          <w:szCs w:val="22"/>
          <w:lang w:val="es-PE"/>
        </w:rPr>
        <w:t>a Resolución Nº 2710-2008-TC-S4 refiere que el protocolo de análisis no es un requisito indispensable para la obtención del Registro Sanitario; sin embargo, los artículos 3 y 28 del Decreto Supremo Nº 010-97-SA y su modificatoria, establecen que es de exclusiva responsabilidad del fabricante consignar los resultados obtenidos del producto ofertado y en caso no consigne algún tipo de prueba, deberá adjuntar hoja adicional suscrita por el o los profesionales responsables, las cuales formaran parte del protocolo de análisis, razón por la cual, el no consignar el tipo de material empleado para la fabricación del producto (TELA NO TEJIDA SMS), acarrea la descalificación de la propuesta presentada por la Adju</w:t>
      </w:r>
      <w:r>
        <w:rPr>
          <w:rFonts w:ascii="Tahoma" w:hAnsi="Tahoma" w:cs="Tahoma"/>
          <w:sz w:val="22"/>
          <w:szCs w:val="22"/>
          <w:lang w:val="es-PE"/>
        </w:rPr>
        <w:t>dicataria, al no haber acreditado</w:t>
      </w:r>
      <w:r w:rsidRPr="00646A41">
        <w:rPr>
          <w:rFonts w:ascii="Tahoma" w:hAnsi="Tahoma" w:cs="Tahoma"/>
          <w:sz w:val="22"/>
          <w:szCs w:val="22"/>
          <w:lang w:val="es-PE"/>
        </w:rPr>
        <w:t xml:space="preserve"> el cumplimiento de las especificaciones técnicas mínimas requeridas por la Entidad en el ítem Nº 52, más aún, cuando tampoco ha cumplido con adjuntar</w:t>
      </w:r>
      <w:r>
        <w:rPr>
          <w:rFonts w:ascii="Tahoma" w:hAnsi="Tahoma" w:cs="Tahoma"/>
          <w:sz w:val="22"/>
          <w:szCs w:val="22"/>
          <w:lang w:val="es-PE"/>
        </w:rPr>
        <w:t xml:space="preserve"> la documentación técnica</w:t>
      </w:r>
      <w:r w:rsidRPr="00646A41">
        <w:rPr>
          <w:rFonts w:ascii="Tahoma" w:hAnsi="Tahoma" w:cs="Tahoma"/>
          <w:sz w:val="22"/>
          <w:szCs w:val="22"/>
          <w:lang w:val="es-PE"/>
        </w:rPr>
        <w:t xml:space="preserve"> que acredite el cumplimiento del material requerido.</w:t>
      </w:r>
    </w:p>
    <w:p w:rsidR="00F709D0" w:rsidRDefault="00F709D0" w:rsidP="00F709D0">
      <w:pPr>
        <w:pStyle w:val="Prrafodelista"/>
        <w:ind w:left="567"/>
        <w:contextualSpacing/>
        <w:jc w:val="both"/>
        <w:rPr>
          <w:rFonts w:ascii="Tahoma" w:hAnsi="Tahoma" w:cs="Tahoma"/>
          <w:sz w:val="22"/>
          <w:szCs w:val="22"/>
          <w:lang w:val="es-PE"/>
        </w:rPr>
      </w:pPr>
    </w:p>
    <w:p w:rsidR="00F709D0" w:rsidRDefault="00F709D0" w:rsidP="00F709D0">
      <w:pPr>
        <w:pStyle w:val="Prrafodelista"/>
        <w:numPr>
          <w:ilvl w:val="0"/>
          <w:numId w:val="2"/>
        </w:numPr>
        <w:tabs>
          <w:tab w:val="clear" w:pos="360"/>
          <w:tab w:val="num" w:pos="567"/>
        </w:tabs>
        <w:ind w:left="567" w:hanging="567"/>
        <w:contextualSpacing/>
        <w:jc w:val="both"/>
        <w:rPr>
          <w:rFonts w:ascii="Tahoma" w:hAnsi="Tahoma" w:cs="Tahoma"/>
          <w:sz w:val="22"/>
          <w:szCs w:val="22"/>
          <w:lang w:val="es-PE"/>
        </w:rPr>
      </w:pPr>
      <w:r>
        <w:rPr>
          <w:rFonts w:ascii="Tahoma" w:hAnsi="Tahoma" w:cs="Tahoma"/>
          <w:sz w:val="22"/>
          <w:szCs w:val="22"/>
          <w:lang w:val="es-PE"/>
        </w:rPr>
        <w:t>Con decreto de fecha 28 de junio del 2011, se reitero por última vez a fin que la Entidad remita la documentación e información solicitada de manera reiterada.</w:t>
      </w:r>
    </w:p>
    <w:p w:rsidR="00F709D0" w:rsidRPr="00D61428" w:rsidRDefault="00F709D0" w:rsidP="00F709D0">
      <w:pPr>
        <w:pStyle w:val="Prrafodelista"/>
        <w:rPr>
          <w:rFonts w:ascii="Tahoma" w:hAnsi="Tahoma" w:cs="Tahoma"/>
          <w:sz w:val="22"/>
          <w:szCs w:val="22"/>
          <w:lang w:val="es-PE"/>
        </w:rPr>
      </w:pPr>
    </w:p>
    <w:p w:rsidR="00F709D0" w:rsidRDefault="00F709D0" w:rsidP="00F709D0">
      <w:pPr>
        <w:pStyle w:val="Prrafodelista"/>
        <w:numPr>
          <w:ilvl w:val="0"/>
          <w:numId w:val="2"/>
        </w:numPr>
        <w:tabs>
          <w:tab w:val="clear" w:pos="360"/>
          <w:tab w:val="num" w:pos="567"/>
        </w:tabs>
        <w:ind w:left="567" w:hanging="567"/>
        <w:contextualSpacing/>
        <w:jc w:val="both"/>
        <w:rPr>
          <w:rFonts w:ascii="Tahoma" w:hAnsi="Tahoma" w:cs="Tahoma"/>
          <w:sz w:val="22"/>
          <w:szCs w:val="22"/>
          <w:lang w:val="es-PE"/>
        </w:rPr>
      </w:pPr>
      <w:r>
        <w:rPr>
          <w:rFonts w:ascii="Tahoma" w:hAnsi="Tahoma" w:cs="Tahoma"/>
          <w:sz w:val="22"/>
          <w:szCs w:val="22"/>
          <w:lang w:val="es-PE"/>
        </w:rPr>
        <w:t>Mediante decreto de fecha 05 de julio del 2011, se hizo efectivo el apercibimiento de resolver con la documentación obrante en autos, al no cumplir la Entidad con remitir la documentación e información solicitada.</w:t>
      </w:r>
    </w:p>
    <w:p w:rsidR="00F709D0" w:rsidRPr="00D61428" w:rsidRDefault="00F709D0" w:rsidP="00F709D0">
      <w:pPr>
        <w:pStyle w:val="Prrafodelista"/>
        <w:rPr>
          <w:rFonts w:ascii="Tahoma" w:hAnsi="Tahoma" w:cs="Tahoma"/>
          <w:sz w:val="22"/>
          <w:szCs w:val="22"/>
          <w:lang w:val="es-PE"/>
        </w:rPr>
      </w:pPr>
    </w:p>
    <w:p w:rsidR="00F709D0" w:rsidRPr="00646A41" w:rsidRDefault="00F709D0" w:rsidP="00F709D0">
      <w:pPr>
        <w:pStyle w:val="Prrafodelista"/>
        <w:numPr>
          <w:ilvl w:val="0"/>
          <w:numId w:val="2"/>
        </w:numPr>
        <w:tabs>
          <w:tab w:val="clear" w:pos="360"/>
          <w:tab w:val="num" w:pos="567"/>
        </w:tabs>
        <w:ind w:left="567" w:hanging="567"/>
        <w:contextualSpacing/>
        <w:jc w:val="both"/>
        <w:rPr>
          <w:rFonts w:ascii="Tahoma" w:hAnsi="Tahoma" w:cs="Tahoma"/>
          <w:sz w:val="22"/>
          <w:szCs w:val="22"/>
          <w:lang w:val="es-PE"/>
        </w:rPr>
      </w:pPr>
      <w:r>
        <w:rPr>
          <w:rFonts w:ascii="Tahoma" w:hAnsi="Tahoma" w:cs="Tahoma"/>
          <w:sz w:val="22"/>
          <w:szCs w:val="22"/>
          <w:lang w:val="es-PE"/>
        </w:rPr>
        <w:t>A través del decreto de fecha 06 de julio del 2011, se declaró el expediente listo para resolver.</w:t>
      </w:r>
    </w:p>
    <w:p w:rsidR="00F709D0" w:rsidRPr="00F709D0" w:rsidRDefault="00F709D0" w:rsidP="00F709D0">
      <w:pPr>
        <w:tabs>
          <w:tab w:val="num" w:pos="567"/>
        </w:tabs>
        <w:ind w:left="540"/>
        <w:jc w:val="both"/>
        <w:rPr>
          <w:rFonts w:ascii="Tahoma" w:hAnsi="Tahoma" w:cs="Tahoma"/>
          <w:sz w:val="22"/>
          <w:szCs w:val="22"/>
          <w:lang w:val="es-PE"/>
        </w:rPr>
      </w:pPr>
    </w:p>
    <w:p w:rsidR="00F709D0" w:rsidRPr="00CB0B36" w:rsidRDefault="00F709D0" w:rsidP="00F709D0">
      <w:pPr>
        <w:pStyle w:val="Prrafodelista"/>
        <w:ind w:left="567"/>
        <w:jc w:val="both"/>
        <w:rPr>
          <w:rFonts w:ascii="Tahoma" w:hAnsi="Tahoma" w:cs="Tahoma"/>
          <w:sz w:val="22"/>
          <w:szCs w:val="22"/>
        </w:rPr>
      </w:pPr>
      <w:r w:rsidRPr="00CB0B36">
        <w:rPr>
          <w:rFonts w:ascii="Tahoma" w:hAnsi="Tahoma" w:cs="Tahoma"/>
          <w:b/>
          <w:bCs/>
          <w:shadow/>
          <w:sz w:val="22"/>
          <w:szCs w:val="22"/>
        </w:rPr>
        <w:t>FUNDAMENTACION:</w:t>
      </w:r>
    </w:p>
    <w:p w:rsidR="00F709D0" w:rsidRPr="00CB0B36" w:rsidRDefault="00F709D0" w:rsidP="00F709D0">
      <w:pPr>
        <w:tabs>
          <w:tab w:val="left" w:pos="567"/>
        </w:tabs>
        <w:autoSpaceDE w:val="0"/>
        <w:autoSpaceDN w:val="0"/>
        <w:adjustRightInd w:val="0"/>
        <w:jc w:val="both"/>
        <w:rPr>
          <w:rFonts w:ascii="Tahoma" w:hAnsi="Tahoma" w:cs="Tahoma"/>
          <w:sz w:val="22"/>
          <w:szCs w:val="22"/>
        </w:rPr>
      </w:pPr>
    </w:p>
    <w:p w:rsidR="00F709D0" w:rsidRPr="00FB5465" w:rsidRDefault="00F709D0" w:rsidP="00F709D0">
      <w:pPr>
        <w:numPr>
          <w:ilvl w:val="0"/>
          <w:numId w:val="1"/>
        </w:numPr>
        <w:tabs>
          <w:tab w:val="left" w:pos="567"/>
        </w:tabs>
        <w:autoSpaceDE w:val="0"/>
        <w:autoSpaceDN w:val="0"/>
        <w:adjustRightInd w:val="0"/>
        <w:ind w:left="567" w:hanging="567"/>
        <w:jc w:val="both"/>
        <w:rPr>
          <w:rFonts w:ascii="Tahoma" w:hAnsi="Tahoma" w:cs="Tahoma"/>
          <w:sz w:val="22"/>
          <w:szCs w:val="22"/>
        </w:rPr>
      </w:pPr>
      <w:r w:rsidRPr="00FB5465">
        <w:rPr>
          <w:rFonts w:ascii="Tahoma" w:hAnsi="Tahoma" w:cs="Tahoma"/>
          <w:sz w:val="22"/>
          <w:szCs w:val="22"/>
        </w:rPr>
        <w:t xml:space="preserve">Es materia del presente procedimiento administrativo el recurso de apelación interpuesto por la Impugnante en </w:t>
      </w:r>
      <w:r w:rsidRPr="00FB5465">
        <w:rPr>
          <w:rFonts w:ascii="Tahoma" w:hAnsi="Tahoma" w:cs="Tahoma"/>
          <w:color w:val="000000"/>
          <w:sz w:val="22"/>
          <w:szCs w:val="22"/>
        </w:rPr>
        <w:t>contra del otorgamient</w:t>
      </w:r>
      <w:r>
        <w:rPr>
          <w:rFonts w:ascii="Tahoma" w:hAnsi="Tahoma" w:cs="Tahoma"/>
          <w:color w:val="000000"/>
          <w:sz w:val="22"/>
          <w:szCs w:val="22"/>
        </w:rPr>
        <w:t>o de la Buena Pro del ítem Nº 52</w:t>
      </w:r>
      <w:r w:rsidRPr="00FB5465">
        <w:rPr>
          <w:rFonts w:ascii="Tahoma" w:hAnsi="Tahoma" w:cs="Tahoma"/>
          <w:color w:val="000000"/>
          <w:sz w:val="22"/>
          <w:szCs w:val="22"/>
        </w:rPr>
        <w:t xml:space="preserve"> de la </w:t>
      </w:r>
      <w:r w:rsidRPr="007E0F4C">
        <w:rPr>
          <w:rFonts w:ascii="Tahoma" w:hAnsi="Tahoma" w:cs="Tahoma"/>
          <w:sz w:val="22"/>
          <w:szCs w:val="22"/>
        </w:rPr>
        <w:t>Licit</w:t>
      </w:r>
      <w:r>
        <w:rPr>
          <w:rFonts w:ascii="Tahoma" w:hAnsi="Tahoma" w:cs="Tahoma"/>
          <w:sz w:val="22"/>
          <w:szCs w:val="22"/>
        </w:rPr>
        <w:t>ación Pública Nº 004-2010-INSN</w:t>
      </w:r>
      <w:r>
        <w:rPr>
          <w:rFonts w:ascii="Tahoma" w:hAnsi="Tahoma" w:cs="Tahoma"/>
          <w:color w:val="000000"/>
          <w:sz w:val="22"/>
          <w:szCs w:val="22"/>
        </w:rPr>
        <w:t xml:space="preserve">, </w:t>
      </w:r>
      <w:r w:rsidRPr="007E0F4C">
        <w:rPr>
          <w:rFonts w:ascii="Tahoma" w:hAnsi="Tahoma" w:cs="Tahoma"/>
          <w:sz w:val="22"/>
          <w:szCs w:val="22"/>
        </w:rPr>
        <w:t>para la “</w:t>
      </w:r>
      <w:r>
        <w:rPr>
          <w:rFonts w:ascii="Tahoma" w:hAnsi="Tahoma" w:cs="Tahoma"/>
          <w:sz w:val="22"/>
          <w:szCs w:val="22"/>
        </w:rPr>
        <w:t>Adquisición de material médico quirúrgico y hospitalario para los servicios asistenciales del INSN</w:t>
      </w:r>
      <w:r w:rsidRPr="007E0F4C">
        <w:rPr>
          <w:rFonts w:ascii="Tahoma" w:hAnsi="Tahoma" w:cs="Tahoma"/>
          <w:sz w:val="22"/>
          <w:szCs w:val="22"/>
        </w:rPr>
        <w:t>”</w:t>
      </w:r>
      <w:r>
        <w:rPr>
          <w:rFonts w:ascii="Tahoma" w:hAnsi="Tahoma" w:cs="Tahoma"/>
          <w:sz w:val="22"/>
          <w:szCs w:val="22"/>
        </w:rPr>
        <w:t>.</w:t>
      </w:r>
    </w:p>
    <w:p w:rsidR="00F709D0" w:rsidRPr="00FB5465" w:rsidRDefault="00F709D0" w:rsidP="00F709D0">
      <w:pPr>
        <w:tabs>
          <w:tab w:val="left" w:pos="567"/>
        </w:tabs>
        <w:autoSpaceDE w:val="0"/>
        <w:autoSpaceDN w:val="0"/>
        <w:adjustRightInd w:val="0"/>
        <w:ind w:left="567"/>
        <w:jc w:val="both"/>
        <w:rPr>
          <w:rFonts w:ascii="Tahoma" w:hAnsi="Tahoma" w:cs="Tahoma"/>
          <w:sz w:val="22"/>
          <w:szCs w:val="22"/>
        </w:rPr>
      </w:pPr>
    </w:p>
    <w:p w:rsidR="00F709D0" w:rsidRDefault="00F709D0" w:rsidP="00F709D0">
      <w:pPr>
        <w:numPr>
          <w:ilvl w:val="0"/>
          <w:numId w:val="1"/>
        </w:numPr>
        <w:tabs>
          <w:tab w:val="left" w:pos="567"/>
        </w:tabs>
        <w:autoSpaceDE w:val="0"/>
        <w:autoSpaceDN w:val="0"/>
        <w:adjustRightInd w:val="0"/>
        <w:ind w:left="567" w:hanging="567"/>
        <w:jc w:val="both"/>
        <w:rPr>
          <w:rFonts w:ascii="Tahoma" w:hAnsi="Tahoma" w:cs="Tahoma"/>
          <w:sz w:val="22"/>
          <w:szCs w:val="22"/>
        </w:rPr>
      </w:pPr>
      <w:r w:rsidRPr="002C1945">
        <w:rPr>
          <w:rFonts w:ascii="Tahoma" w:hAnsi="Tahoma" w:cs="Tahoma"/>
          <w:sz w:val="22"/>
          <w:szCs w:val="22"/>
        </w:rPr>
        <w:t>Debe tenerse en cuenta que el presente proceso de selección se llevó a cabo estando vigente la Ley de Contrataciones del Estado, aprobada por Decreto Legislativo Nº 1017 – en adelante la Ley– , y su Reglamento, aprobado por Decreto Supremo Nº 184-2008-EF, en adelante el Reglamento; por lo que tales disposiciones legales resultan aplicables.</w:t>
      </w:r>
    </w:p>
    <w:p w:rsidR="00F709D0" w:rsidRDefault="00F709D0" w:rsidP="00F709D0">
      <w:pPr>
        <w:pStyle w:val="Prrafodelista"/>
        <w:rPr>
          <w:rFonts w:ascii="Tahoma" w:hAnsi="Tahoma" w:cs="Tahoma"/>
          <w:sz w:val="22"/>
          <w:szCs w:val="22"/>
        </w:rPr>
      </w:pPr>
    </w:p>
    <w:p w:rsidR="00F709D0" w:rsidRDefault="00F709D0" w:rsidP="00F709D0">
      <w:pPr>
        <w:numPr>
          <w:ilvl w:val="0"/>
          <w:numId w:val="1"/>
        </w:numPr>
        <w:tabs>
          <w:tab w:val="left" w:pos="567"/>
        </w:tabs>
        <w:autoSpaceDE w:val="0"/>
        <w:autoSpaceDN w:val="0"/>
        <w:adjustRightInd w:val="0"/>
        <w:ind w:left="567" w:hanging="567"/>
        <w:jc w:val="both"/>
        <w:rPr>
          <w:rFonts w:ascii="Tahoma" w:hAnsi="Tahoma" w:cs="Tahoma"/>
          <w:sz w:val="22"/>
          <w:szCs w:val="22"/>
        </w:rPr>
      </w:pPr>
      <w:r w:rsidRPr="00C87B59">
        <w:rPr>
          <w:rFonts w:ascii="Tahoma" w:hAnsi="Tahoma" w:cs="Tahoma"/>
          <w:sz w:val="22"/>
          <w:szCs w:val="22"/>
        </w:rPr>
        <w:t>El artículo 53 de la Ley establece que el recurso de apelación sólo podrá interponerse luego de otorgada la buena pro. Asimismo dispone que el recurso de apelación será conocido y resuelto por el Titular de la Entidad siempre y cuando el valor referencial del proceso no supere las seiscientas (600) UIT; puesto que en caso contrario, éstos serán resueltos por el Tribunal de Contrataciones del Estado.</w:t>
      </w:r>
    </w:p>
    <w:p w:rsidR="00F709D0" w:rsidRDefault="00F709D0" w:rsidP="00F709D0">
      <w:pPr>
        <w:pStyle w:val="Prrafodelista"/>
        <w:rPr>
          <w:rFonts w:ascii="Tahoma" w:hAnsi="Tahoma" w:cs="Tahoma"/>
          <w:sz w:val="22"/>
          <w:szCs w:val="22"/>
        </w:rPr>
      </w:pPr>
    </w:p>
    <w:p w:rsidR="00F709D0" w:rsidRDefault="00F709D0" w:rsidP="00F709D0">
      <w:pPr>
        <w:numPr>
          <w:ilvl w:val="0"/>
          <w:numId w:val="1"/>
        </w:numPr>
        <w:tabs>
          <w:tab w:val="left" w:pos="567"/>
        </w:tabs>
        <w:autoSpaceDE w:val="0"/>
        <w:autoSpaceDN w:val="0"/>
        <w:adjustRightInd w:val="0"/>
        <w:ind w:left="567" w:hanging="567"/>
        <w:jc w:val="both"/>
        <w:rPr>
          <w:rFonts w:ascii="Tahoma" w:hAnsi="Tahoma" w:cs="Tahoma"/>
          <w:sz w:val="22"/>
          <w:szCs w:val="22"/>
        </w:rPr>
      </w:pPr>
      <w:r w:rsidRPr="00C87B59">
        <w:rPr>
          <w:rFonts w:ascii="Tahoma" w:hAnsi="Tahoma" w:cs="Tahoma"/>
          <w:sz w:val="22"/>
          <w:szCs w:val="22"/>
        </w:rPr>
        <w:t xml:space="preserve">En esa misma línea, el artículo 104 del Reglamento ha dispuesto que en los procesos de selección según relación de ítems, el valor referencial total del proceso determinará ante quien se presentará el recurso de apelación. </w:t>
      </w:r>
    </w:p>
    <w:p w:rsidR="00F709D0" w:rsidRDefault="00F709D0" w:rsidP="00F709D0">
      <w:pPr>
        <w:pStyle w:val="Prrafodelista"/>
        <w:rPr>
          <w:rFonts w:ascii="Tahoma" w:hAnsi="Tahoma" w:cs="Tahoma"/>
          <w:sz w:val="22"/>
          <w:szCs w:val="22"/>
        </w:rPr>
      </w:pPr>
    </w:p>
    <w:p w:rsidR="00F709D0" w:rsidRDefault="00F709D0" w:rsidP="00F709D0">
      <w:pPr>
        <w:numPr>
          <w:ilvl w:val="0"/>
          <w:numId w:val="1"/>
        </w:numPr>
        <w:tabs>
          <w:tab w:val="left" w:pos="567"/>
        </w:tabs>
        <w:autoSpaceDE w:val="0"/>
        <w:autoSpaceDN w:val="0"/>
        <w:adjustRightInd w:val="0"/>
        <w:ind w:left="567" w:hanging="567"/>
        <w:jc w:val="both"/>
        <w:rPr>
          <w:rFonts w:ascii="Tahoma" w:hAnsi="Tahoma" w:cs="Tahoma"/>
          <w:sz w:val="22"/>
          <w:szCs w:val="22"/>
        </w:rPr>
      </w:pPr>
      <w:r w:rsidRPr="00C87B59">
        <w:rPr>
          <w:rFonts w:ascii="Tahoma" w:hAnsi="Tahoma" w:cs="Tahoma"/>
          <w:sz w:val="22"/>
          <w:szCs w:val="22"/>
        </w:rPr>
        <w:t xml:space="preserve">Del mismo modo, el artículo 107 del Reglamento dispone que el recurso de apelación contra el otorgamiento de la buena pro o contra los actos dictados con anterioridad a ella debe interponerse dentro de los ocho (8) días siguientes de haberse otorgado la buena pro. En el caso de Adjudicaciones Directas y Adjudicaciones de Menor Cuantía, el plazo será de cinco (5) días hábiles. </w:t>
      </w:r>
      <w:r w:rsidRPr="00C87B59">
        <w:rPr>
          <w:rFonts w:ascii="Tahoma" w:hAnsi="Tahoma" w:cs="Tahoma"/>
          <w:b/>
          <w:sz w:val="22"/>
          <w:szCs w:val="22"/>
        </w:rPr>
        <w:t>La apelación contra los actos distintos a los indicados anteriormente deberá interponerse dentro de los ocho (8) días hábiles siguientes de haberse tomado conocimiento del acto que se desea impugnar.</w:t>
      </w:r>
      <w:r w:rsidRPr="00C87B59">
        <w:rPr>
          <w:rFonts w:ascii="Tahoma" w:hAnsi="Tahoma" w:cs="Tahoma"/>
          <w:sz w:val="22"/>
          <w:szCs w:val="22"/>
        </w:rPr>
        <w:t xml:space="preserve"> En el </w:t>
      </w:r>
      <w:r w:rsidRPr="00C87B59">
        <w:rPr>
          <w:rFonts w:ascii="Tahoma" w:hAnsi="Tahoma" w:cs="Tahoma"/>
          <w:sz w:val="22"/>
          <w:szCs w:val="22"/>
        </w:rPr>
        <w:lastRenderedPageBreak/>
        <w:t>caso de adjudicaciones Directas y Adjudicaciones de Menor Cuantía, el plazo será de cinco (05) días hábiles.</w:t>
      </w:r>
    </w:p>
    <w:p w:rsidR="00F709D0" w:rsidRDefault="00F709D0" w:rsidP="00F709D0">
      <w:pPr>
        <w:pStyle w:val="Prrafodelista"/>
        <w:rPr>
          <w:rFonts w:ascii="Tahoma" w:hAnsi="Tahoma" w:cs="Tahoma"/>
          <w:sz w:val="22"/>
          <w:szCs w:val="22"/>
        </w:rPr>
      </w:pPr>
    </w:p>
    <w:p w:rsidR="00F709D0" w:rsidRDefault="00F709D0" w:rsidP="00F709D0">
      <w:pPr>
        <w:numPr>
          <w:ilvl w:val="0"/>
          <w:numId w:val="1"/>
        </w:numPr>
        <w:tabs>
          <w:tab w:val="left" w:pos="567"/>
        </w:tabs>
        <w:autoSpaceDE w:val="0"/>
        <w:autoSpaceDN w:val="0"/>
        <w:adjustRightInd w:val="0"/>
        <w:ind w:left="567" w:hanging="567"/>
        <w:jc w:val="both"/>
        <w:rPr>
          <w:rFonts w:ascii="Tahoma" w:hAnsi="Tahoma" w:cs="Tahoma"/>
          <w:sz w:val="22"/>
          <w:szCs w:val="22"/>
        </w:rPr>
      </w:pPr>
      <w:r w:rsidRPr="00C87B59">
        <w:rPr>
          <w:rFonts w:ascii="Tahoma" w:hAnsi="Tahoma" w:cs="Tahoma"/>
          <w:sz w:val="22"/>
          <w:szCs w:val="22"/>
        </w:rPr>
        <w:t>En el marco de lo indicado ante</w:t>
      </w:r>
      <w:r>
        <w:rPr>
          <w:rFonts w:ascii="Tahoma" w:hAnsi="Tahoma" w:cs="Tahoma"/>
          <w:sz w:val="22"/>
          <w:szCs w:val="22"/>
        </w:rPr>
        <w:t xml:space="preserve">riormente, debe advertirse que </w:t>
      </w:r>
      <w:r w:rsidRPr="00C87B59">
        <w:rPr>
          <w:rFonts w:ascii="Tahoma" w:hAnsi="Tahoma" w:cs="Tahoma"/>
          <w:sz w:val="22"/>
          <w:szCs w:val="22"/>
        </w:rPr>
        <w:t>l</w:t>
      </w:r>
      <w:r>
        <w:rPr>
          <w:rFonts w:ascii="Tahoma" w:hAnsi="Tahoma" w:cs="Tahoma"/>
          <w:sz w:val="22"/>
          <w:szCs w:val="22"/>
        </w:rPr>
        <w:t>a</w:t>
      </w:r>
      <w:r w:rsidRPr="00C87B59">
        <w:rPr>
          <w:rFonts w:ascii="Tahoma" w:hAnsi="Tahoma" w:cs="Tahoma"/>
          <w:sz w:val="22"/>
          <w:szCs w:val="22"/>
        </w:rPr>
        <w:t xml:space="preserve"> Impugnante ha cuestionado –vía recurso de apelación- </w:t>
      </w:r>
      <w:r>
        <w:rPr>
          <w:rFonts w:ascii="Tahoma" w:hAnsi="Tahoma" w:cs="Tahoma"/>
          <w:sz w:val="22"/>
          <w:szCs w:val="22"/>
        </w:rPr>
        <w:t xml:space="preserve">el otorgamiento de la Buena Pro del </w:t>
      </w:r>
      <w:r>
        <w:rPr>
          <w:rFonts w:ascii="Tahoma" w:hAnsi="Tahoma" w:cs="Tahoma"/>
          <w:color w:val="000000"/>
          <w:sz w:val="22"/>
          <w:szCs w:val="22"/>
        </w:rPr>
        <w:t>ítem Nº 52</w:t>
      </w:r>
      <w:r w:rsidRPr="00FB5465">
        <w:rPr>
          <w:rFonts w:ascii="Tahoma" w:hAnsi="Tahoma" w:cs="Tahoma"/>
          <w:color w:val="000000"/>
          <w:sz w:val="22"/>
          <w:szCs w:val="22"/>
        </w:rPr>
        <w:t xml:space="preserve"> de la </w:t>
      </w:r>
      <w:r w:rsidRPr="007E0F4C">
        <w:rPr>
          <w:rFonts w:ascii="Tahoma" w:hAnsi="Tahoma" w:cs="Tahoma"/>
          <w:sz w:val="22"/>
          <w:szCs w:val="22"/>
        </w:rPr>
        <w:t>Licit</w:t>
      </w:r>
      <w:r>
        <w:rPr>
          <w:rFonts w:ascii="Tahoma" w:hAnsi="Tahoma" w:cs="Tahoma"/>
          <w:sz w:val="22"/>
          <w:szCs w:val="22"/>
        </w:rPr>
        <w:t>ación Pública Nº 004-2010-INSN</w:t>
      </w:r>
      <w:r w:rsidRPr="00C87B59">
        <w:rPr>
          <w:rFonts w:ascii="Tahoma" w:hAnsi="Tahoma" w:cs="Tahoma"/>
          <w:sz w:val="22"/>
          <w:szCs w:val="22"/>
        </w:rPr>
        <w:t xml:space="preserve">, la cual fue </w:t>
      </w:r>
      <w:r>
        <w:rPr>
          <w:rFonts w:ascii="Tahoma" w:hAnsi="Tahoma" w:cs="Tahoma"/>
          <w:sz w:val="22"/>
          <w:szCs w:val="22"/>
        </w:rPr>
        <w:t>otorgada a favor del Adjudicatario el 27 de abril del 2011, p</w:t>
      </w:r>
      <w:r w:rsidRPr="00C87B59">
        <w:rPr>
          <w:rFonts w:ascii="Tahoma" w:hAnsi="Tahoma" w:cs="Tahoma"/>
          <w:sz w:val="22"/>
          <w:szCs w:val="22"/>
        </w:rPr>
        <w:t xml:space="preserve">or tanto, se colige que el plazo máximo para impugnar el referido </w:t>
      </w:r>
      <w:r>
        <w:rPr>
          <w:rFonts w:ascii="Tahoma" w:hAnsi="Tahoma" w:cs="Tahoma"/>
          <w:sz w:val="22"/>
          <w:szCs w:val="22"/>
        </w:rPr>
        <w:t>acto administrativo venció el 09 de mayo de 2011</w:t>
      </w:r>
      <w:r w:rsidRPr="00C87B59">
        <w:rPr>
          <w:rFonts w:ascii="Tahoma" w:hAnsi="Tahoma" w:cs="Tahoma"/>
          <w:sz w:val="22"/>
          <w:szCs w:val="22"/>
        </w:rPr>
        <w:t>.</w:t>
      </w:r>
    </w:p>
    <w:p w:rsidR="00F709D0" w:rsidRDefault="00F709D0" w:rsidP="00F709D0">
      <w:pPr>
        <w:pStyle w:val="Prrafodelista"/>
        <w:rPr>
          <w:rFonts w:ascii="Tahoma" w:hAnsi="Tahoma" w:cs="Tahoma"/>
          <w:sz w:val="22"/>
          <w:szCs w:val="22"/>
        </w:rPr>
      </w:pPr>
    </w:p>
    <w:p w:rsidR="00F709D0" w:rsidRPr="004857CD" w:rsidRDefault="00F709D0" w:rsidP="00F709D0">
      <w:pPr>
        <w:numPr>
          <w:ilvl w:val="0"/>
          <w:numId w:val="1"/>
        </w:numPr>
        <w:tabs>
          <w:tab w:val="left" w:pos="567"/>
        </w:tabs>
        <w:autoSpaceDE w:val="0"/>
        <w:autoSpaceDN w:val="0"/>
        <w:adjustRightInd w:val="0"/>
        <w:ind w:left="567" w:hanging="567"/>
        <w:jc w:val="both"/>
        <w:rPr>
          <w:rFonts w:ascii="Tahoma" w:hAnsi="Tahoma" w:cs="Tahoma"/>
          <w:sz w:val="22"/>
          <w:szCs w:val="22"/>
        </w:rPr>
      </w:pPr>
      <w:r w:rsidRPr="004857CD">
        <w:rPr>
          <w:rFonts w:ascii="Tahoma" w:hAnsi="Tahoma" w:cs="Tahoma"/>
          <w:sz w:val="22"/>
          <w:szCs w:val="22"/>
        </w:rPr>
        <w:t>Siendo que l</w:t>
      </w:r>
      <w:r>
        <w:rPr>
          <w:rFonts w:ascii="Tahoma" w:hAnsi="Tahoma" w:cs="Tahoma"/>
          <w:sz w:val="22"/>
          <w:szCs w:val="22"/>
        </w:rPr>
        <w:t>a</w:t>
      </w:r>
      <w:r w:rsidRPr="004857CD">
        <w:rPr>
          <w:rFonts w:ascii="Tahoma" w:hAnsi="Tahoma" w:cs="Tahoma"/>
          <w:sz w:val="22"/>
          <w:szCs w:val="22"/>
        </w:rPr>
        <w:t xml:space="preserve"> Impugnante interpuso su recu</w:t>
      </w:r>
      <w:r>
        <w:rPr>
          <w:rFonts w:ascii="Tahoma" w:hAnsi="Tahoma" w:cs="Tahoma"/>
          <w:sz w:val="22"/>
          <w:szCs w:val="22"/>
        </w:rPr>
        <w:t>rso de apelación contra</w:t>
      </w:r>
      <w:r w:rsidRPr="004857CD">
        <w:rPr>
          <w:rFonts w:ascii="Tahoma" w:hAnsi="Tahoma" w:cs="Tahoma"/>
          <w:sz w:val="22"/>
          <w:szCs w:val="22"/>
        </w:rPr>
        <w:t xml:space="preserve"> </w:t>
      </w:r>
      <w:r>
        <w:rPr>
          <w:rFonts w:ascii="Tahoma" w:hAnsi="Tahoma" w:cs="Tahoma"/>
          <w:sz w:val="22"/>
          <w:szCs w:val="22"/>
        </w:rPr>
        <w:t xml:space="preserve">el otorgamiento de la Buena Pro del </w:t>
      </w:r>
      <w:r w:rsidRPr="00FB5465">
        <w:rPr>
          <w:rFonts w:ascii="Tahoma" w:hAnsi="Tahoma" w:cs="Tahoma"/>
          <w:color w:val="000000"/>
          <w:sz w:val="22"/>
          <w:szCs w:val="22"/>
        </w:rPr>
        <w:t xml:space="preserve">ítem </w:t>
      </w:r>
      <w:r>
        <w:rPr>
          <w:rFonts w:ascii="Tahoma" w:hAnsi="Tahoma" w:cs="Tahoma"/>
          <w:color w:val="000000"/>
          <w:sz w:val="22"/>
          <w:szCs w:val="22"/>
        </w:rPr>
        <w:t>Nº 52</w:t>
      </w:r>
      <w:r w:rsidRPr="00FB5465">
        <w:rPr>
          <w:rFonts w:ascii="Tahoma" w:hAnsi="Tahoma" w:cs="Tahoma"/>
          <w:color w:val="000000"/>
          <w:sz w:val="22"/>
          <w:szCs w:val="22"/>
        </w:rPr>
        <w:t xml:space="preserve"> de la </w:t>
      </w:r>
      <w:r w:rsidRPr="007E0F4C">
        <w:rPr>
          <w:rFonts w:ascii="Tahoma" w:hAnsi="Tahoma" w:cs="Tahoma"/>
          <w:sz w:val="22"/>
          <w:szCs w:val="22"/>
        </w:rPr>
        <w:t>Licit</w:t>
      </w:r>
      <w:r>
        <w:rPr>
          <w:rFonts w:ascii="Tahoma" w:hAnsi="Tahoma" w:cs="Tahoma"/>
          <w:sz w:val="22"/>
          <w:szCs w:val="22"/>
        </w:rPr>
        <w:t>ación Pública Nº 004-2010-INSN el 06 de mayo del 2011</w:t>
      </w:r>
      <w:r w:rsidRPr="004857CD">
        <w:rPr>
          <w:rFonts w:ascii="Tahoma" w:hAnsi="Tahoma" w:cs="Tahoma"/>
          <w:sz w:val="22"/>
          <w:szCs w:val="22"/>
        </w:rPr>
        <w:t>, se concluye que éste ha sido planteado dentro del plazo perentorio referido precedentemente.</w:t>
      </w:r>
    </w:p>
    <w:p w:rsidR="00F709D0" w:rsidRPr="00C87B59" w:rsidRDefault="00F709D0" w:rsidP="00F709D0">
      <w:pPr>
        <w:tabs>
          <w:tab w:val="left" w:pos="567"/>
        </w:tabs>
        <w:autoSpaceDE w:val="0"/>
        <w:autoSpaceDN w:val="0"/>
        <w:adjustRightInd w:val="0"/>
        <w:ind w:left="567"/>
        <w:jc w:val="both"/>
        <w:rPr>
          <w:rFonts w:ascii="Tahoma" w:hAnsi="Tahoma" w:cs="Tahoma"/>
          <w:sz w:val="22"/>
          <w:szCs w:val="22"/>
          <w:lang w:val="es-ES_tradnl"/>
        </w:rPr>
      </w:pPr>
    </w:p>
    <w:p w:rsidR="00F709D0" w:rsidRPr="00F82CA0" w:rsidRDefault="00F709D0" w:rsidP="00F709D0">
      <w:pPr>
        <w:tabs>
          <w:tab w:val="left" w:pos="567"/>
        </w:tabs>
        <w:autoSpaceDE w:val="0"/>
        <w:autoSpaceDN w:val="0"/>
        <w:adjustRightInd w:val="0"/>
        <w:ind w:left="567"/>
        <w:jc w:val="both"/>
        <w:rPr>
          <w:rFonts w:ascii="Tahoma" w:hAnsi="Tahoma" w:cs="Tahoma"/>
          <w:b/>
          <w:sz w:val="22"/>
          <w:szCs w:val="22"/>
        </w:rPr>
      </w:pPr>
      <w:r w:rsidRPr="00F82CA0">
        <w:rPr>
          <w:rFonts w:ascii="Tahoma" w:hAnsi="Tahoma" w:cs="Tahoma"/>
          <w:b/>
          <w:sz w:val="22"/>
          <w:szCs w:val="22"/>
        </w:rPr>
        <w:t>RESPECTO A LOS CUESTIONAMIENTOS DE LA IMPUGNANTE CONTRA LA PROPUESTA TÉCNICA DEL ADJUDICATARIO</w:t>
      </w:r>
    </w:p>
    <w:p w:rsidR="00F709D0" w:rsidRPr="002C1945" w:rsidRDefault="00F709D0" w:rsidP="00F709D0">
      <w:pPr>
        <w:tabs>
          <w:tab w:val="left" w:pos="567"/>
        </w:tabs>
        <w:autoSpaceDE w:val="0"/>
        <w:autoSpaceDN w:val="0"/>
        <w:adjustRightInd w:val="0"/>
        <w:ind w:left="567"/>
        <w:jc w:val="both"/>
        <w:rPr>
          <w:rFonts w:ascii="Tahoma" w:hAnsi="Tahoma" w:cs="Tahoma"/>
          <w:sz w:val="22"/>
          <w:szCs w:val="22"/>
        </w:rPr>
      </w:pPr>
    </w:p>
    <w:p w:rsidR="00F709D0" w:rsidRPr="007E0F4C" w:rsidRDefault="00F709D0" w:rsidP="00F709D0">
      <w:pPr>
        <w:pStyle w:val="Prrafodelista"/>
        <w:numPr>
          <w:ilvl w:val="0"/>
          <w:numId w:val="1"/>
        </w:numPr>
        <w:ind w:left="567" w:hanging="567"/>
        <w:jc w:val="both"/>
        <w:rPr>
          <w:rFonts w:ascii="Tahoma" w:hAnsi="Tahoma" w:cs="Tahoma"/>
          <w:sz w:val="22"/>
          <w:szCs w:val="22"/>
        </w:rPr>
      </w:pPr>
      <w:r w:rsidRPr="007E0F4C">
        <w:rPr>
          <w:rFonts w:ascii="Tahoma" w:hAnsi="Tahoma" w:cs="Tahoma"/>
          <w:sz w:val="22"/>
          <w:szCs w:val="22"/>
        </w:rPr>
        <w:t xml:space="preserve">Conforme se puede apreciar de los antecedentes reseñados, el punto controvertido consiste en determinar, </w:t>
      </w:r>
      <w:r w:rsidRPr="007E0F4C">
        <w:rPr>
          <w:rFonts w:ascii="Tahoma" w:hAnsi="Tahoma" w:cs="Tahoma"/>
          <w:sz w:val="22"/>
          <w:szCs w:val="22"/>
          <w:u w:val="single"/>
        </w:rPr>
        <w:t xml:space="preserve">si </w:t>
      </w:r>
      <w:r>
        <w:rPr>
          <w:rFonts w:ascii="Tahoma" w:hAnsi="Tahoma" w:cs="Tahoma"/>
          <w:sz w:val="22"/>
          <w:szCs w:val="22"/>
          <w:u w:val="single"/>
        </w:rPr>
        <w:t>se ha realizado una correcta evaluación de la propuesta técnica presentada por el Adjudicatario, debiendo analizar, de ser el caso, si corresponde revocar la Buena P</w:t>
      </w:r>
      <w:r w:rsidRPr="007E0F4C">
        <w:rPr>
          <w:rFonts w:ascii="Tahoma" w:hAnsi="Tahoma" w:cs="Tahoma"/>
          <w:sz w:val="22"/>
          <w:szCs w:val="22"/>
          <w:u w:val="single"/>
        </w:rPr>
        <w:t xml:space="preserve">ro otorgada a </w:t>
      </w:r>
      <w:r>
        <w:rPr>
          <w:rFonts w:ascii="Tahoma" w:hAnsi="Tahoma" w:cs="Tahoma"/>
          <w:sz w:val="22"/>
          <w:szCs w:val="22"/>
          <w:u w:val="single"/>
        </w:rPr>
        <w:t xml:space="preserve">su </w:t>
      </w:r>
      <w:r w:rsidRPr="007E0F4C">
        <w:rPr>
          <w:rFonts w:ascii="Tahoma" w:hAnsi="Tahoma" w:cs="Tahoma"/>
          <w:sz w:val="22"/>
          <w:szCs w:val="22"/>
          <w:u w:val="single"/>
        </w:rPr>
        <w:t>favor</w:t>
      </w:r>
      <w:r>
        <w:rPr>
          <w:rFonts w:ascii="Tahoma" w:hAnsi="Tahoma" w:cs="Tahoma"/>
          <w:sz w:val="22"/>
          <w:szCs w:val="22"/>
          <w:u w:val="single"/>
        </w:rPr>
        <w:t>.</w:t>
      </w:r>
    </w:p>
    <w:p w:rsidR="00F709D0" w:rsidRPr="00F82CA0" w:rsidRDefault="00F709D0" w:rsidP="00F709D0">
      <w:pPr>
        <w:tabs>
          <w:tab w:val="left" w:pos="567"/>
        </w:tabs>
        <w:autoSpaceDE w:val="0"/>
        <w:autoSpaceDN w:val="0"/>
        <w:adjustRightInd w:val="0"/>
        <w:jc w:val="both"/>
        <w:rPr>
          <w:rFonts w:ascii="Tahoma" w:hAnsi="Tahoma" w:cs="Tahoma"/>
          <w:sz w:val="22"/>
          <w:szCs w:val="22"/>
          <w:lang w:val="es-ES_tradnl"/>
        </w:rPr>
      </w:pPr>
    </w:p>
    <w:p w:rsidR="00F709D0" w:rsidRDefault="00F709D0" w:rsidP="00F709D0">
      <w:pPr>
        <w:pStyle w:val="Prrafodelista"/>
        <w:numPr>
          <w:ilvl w:val="0"/>
          <w:numId w:val="1"/>
        </w:numPr>
        <w:ind w:left="567" w:hanging="567"/>
        <w:contextualSpacing/>
        <w:jc w:val="both"/>
        <w:rPr>
          <w:rFonts w:ascii="Tahoma" w:hAnsi="Tahoma" w:cs="Tahoma"/>
          <w:sz w:val="22"/>
          <w:szCs w:val="22"/>
        </w:rPr>
      </w:pPr>
      <w:r w:rsidRPr="002C1945">
        <w:rPr>
          <w:rFonts w:ascii="Tahoma" w:hAnsi="Tahoma" w:cs="Tahoma"/>
          <w:sz w:val="22"/>
          <w:szCs w:val="22"/>
        </w:rPr>
        <w:t>Como marco referencial, es preciso tener en cuenta que en reiterada jurisprudencia emitida por este Tribunal, se ha establecido que las Bases constituyen las reglas del proceso de selección y es en función de ellas que debe efectuarse la calificación y evaluación de las propuestas, conforme a lo dispuesto en el artículo 26º de la Ley, la cual señala que lo establecido en las Bases, en la citada Ley y en el Reglamento, obliga a todos los postores y a la Entidad convocante.</w:t>
      </w:r>
    </w:p>
    <w:p w:rsidR="00F709D0" w:rsidRPr="00802C7C" w:rsidRDefault="00F709D0" w:rsidP="00F709D0">
      <w:pPr>
        <w:contextualSpacing/>
        <w:jc w:val="both"/>
        <w:rPr>
          <w:rFonts w:ascii="Tahoma" w:hAnsi="Tahoma" w:cs="Tahoma"/>
          <w:sz w:val="22"/>
          <w:szCs w:val="22"/>
        </w:rPr>
      </w:pPr>
    </w:p>
    <w:p w:rsidR="00F709D0" w:rsidRPr="002C1945" w:rsidRDefault="00F709D0" w:rsidP="00F709D0">
      <w:pPr>
        <w:pStyle w:val="Prrafodelista"/>
        <w:widowControl w:val="0"/>
        <w:numPr>
          <w:ilvl w:val="0"/>
          <w:numId w:val="1"/>
        </w:numPr>
        <w:tabs>
          <w:tab w:val="num" w:pos="0"/>
          <w:tab w:val="num" w:pos="567"/>
        </w:tabs>
        <w:suppressAutoHyphens/>
        <w:ind w:left="567" w:hanging="567"/>
        <w:contextualSpacing/>
        <w:jc w:val="both"/>
        <w:rPr>
          <w:rFonts w:ascii="Tahoma" w:hAnsi="Tahoma" w:cs="Tahoma"/>
          <w:sz w:val="22"/>
          <w:szCs w:val="22"/>
        </w:rPr>
      </w:pPr>
      <w:r w:rsidRPr="002C1945">
        <w:rPr>
          <w:rFonts w:ascii="Tahoma" w:hAnsi="Tahoma" w:cs="Tahoma"/>
          <w:sz w:val="22"/>
          <w:szCs w:val="22"/>
        </w:rPr>
        <w:t>Asimismo, el artículo 61º del Reglamento, establece que para que una propuesta sea admitida deberá incluir, cumplir y, en su caso, acreditar la documentación de presentación obligatoria que se establezca en las Bases Administrativas y los requerimientos técnicos mínimos que constituyen las características técnicas, normas reglamentarias y cualquier otro requisito establecido como tal en las Bases y en las disposiciones legales que regulan el objeto materia de la contratación.</w:t>
      </w:r>
    </w:p>
    <w:p w:rsidR="00F709D0" w:rsidRPr="002C1945" w:rsidRDefault="00F709D0" w:rsidP="00F709D0">
      <w:pPr>
        <w:pStyle w:val="Prrafodelista1"/>
        <w:rPr>
          <w:rFonts w:ascii="Tahoma" w:eastAsia="Times New Roman" w:hAnsi="Tahoma" w:cs="Tahoma"/>
          <w:sz w:val="22"/>
          <w:szCs w:val="22"/>
        </w:rPr>
      </w:pPr>
    </w:p>
    <w:p w:rsidR="00F709D0" w:rsidRPr="002C1945" w:rsidRDefault="00F709D0" w:rsidP="00F709D0">
      <w:pPr>
        <w:pStyle w:val="Prrafodelista"/>
        <w:widowControl w:val="0"/>
        <w:numPr>
          <w:ilvl w:val="0"/>
          <w:numId w:val="1"/>
        </w:numPr>
        <w:tabs>
          <w:tab w:val="num" w:pos="567"/>
        </w:tabs>
        <w:suppressAutoHyphens/>
        <w:ind w:left="567" w:hanging="567"/>
        <w:contextualSpacing/>
        <w:jc w:val="both"/>
        <w:rPr>
          <w:rFonts w:ascii="Tahoma" w:hAnsi="Tahoma" w:cs="Tahoma"/>
          <w:sz w:val="22"/>
          <w:szCs w:val="22"/>
        </w:rPr>
      </w:pPr>
      <w:r w:rsidRPr="002C1945">
        <w:rPr>
          <w:rFonts w:ascii="Tahoma" w:hAnsi="Tahoma" w:cs="Tahoma"/>
          <w:sz w:val="22"/>
          <w:szCs w:val="22"/>
        </w:rPr>
        <w:t>Por su parte, el artículo 70º señala que a efecto de admitir las propuestas técnicas, el Comité Especial verificará que las ofertas cumplan con los requisitos de admisión de las propuestas establecidos en las Bases y que sólo una vez admitidas las propuestas, aplicará los factores de evaluación previstos en las Bases asignando los puntajes correspondientes, conforme a los criterios establecidos para cada factor y a la documentación sustentatoria presentada por el postor.</w:t>
      </w:r>
    </w:p>
    <w:p w:rsidR="00F709D0" w:rsidRPr="002C1945" w:rsidRDefault="00F709D0" w:rsidP="00F709D0">
      <w:pPr>
        <w:pStyle w:val="Prrafodelista"/>
        <w:rPr>
          <w:rFonts w:ascii="Tahoma" w:hAnsi="Tahoma" w:cs="Tahoma"/>
          <w:sz w:val="22"/>
          <w:szCs w:val="22"/>
        </w:rPr>
      </w:pPr>
    </w:p>
    <w:p w:rsidR="00F709D0" w:rsidRPr="00C666AE" w:rsidRDefault="00F709D0" w:rsidP="00F709D0">
      <w:pPr>
        <w:numPr>
          <w:ilvl w:val="0"/>
          <w:numId w:val="1"/>
        </w:numPr>
        <w:tabs>
          <w:tab w:val="num" w:pos="567"/>
        </w:tabs>
        <w:ind w:left="567" w:hanging="567"/>
        <w:jc w:val="both"/>
        <w:rPr>
          <w:rFonts w:ascii="Tahoma" w:hAnsi="Tahoma" w:cs="Tahoma"/>
          <w:sz w:val="22"/>
          <w:szCs w:val="22"/>
        </w:rPr>
      </w:pPr>
      <w:r w:rsidRPr="002C1945">
        <w:rPr>
          <w:rFonts w:ascii="Tahoma" w:hAnsi="Tahoma" w:cs="Tahoma"/>
          <w:sz w:val="22"/>
          <w:szCs w:val="22"/>
        </w:rPr>
        <w:t xml:space="preserve">Ahora bien, </w:t>
      </w:r>
      <w:r>
        <w:rPr>
          <w:rFonts w:ascii="Tahoma" w:hAnsi="Tahoma" w:cs="Tahoma"/>
          <w:sz w:val="22"/>
          <w:szCs w:val="22"/>
        </w:rPr>
        <w:t>se ha cuestionado la propuesta técnica del Adjudicatario, por el supuesto incumplimiento de los requerimientos técnicos mínimos, toda vez que a folios 81</w:t>
      </w:r>
      <w:r w:rsidRPr="0001331A">
        <w:rPr>
          <w:rFonts w:ascii="Tahoma" w:hAnsi="Tahoma" w:cs="Tahoma"/>
          <w:sz w:val="22"/>
          <w:szCs w:val="22"/>
        </w:rPr>
        <w:t xml:space="preserve"> obra el Protocolo de Análisis del producto ofertado en el ítem Nº 52, en el cual </w:t>
      </w:r>
      <w:r>
        <w:rPr>
          <w:rFonts w:ascii="Tahoma" w:hAnsi="Tahoma" w:cs="Tahoma"/>
          <w:sz w:val="22"/>
          <w:szCs w:val="22"/>
        </w:rPr>
        <w:t>además de estar</w:t>
      </w:r>
      <w:r w:rsidRPr="0001331A">
        <w:rPr>
          <w:rFonts w:ascii="Tahoma" w:hAnsi="Tahoma" w:cs="Tahoma"/>
          <w:sz w:val="22"/>
          <w:szCs w:val="22"/>
        </w:rPr>
        <w:t xml:space="preserve"> redactada en inglés y castellano, </w:t>
      </w:r>
      <w:r>
        <w:rPr>
          <w:rFonts w:ascii="Tahoma" w:hAnsi="Tahoma" w:cs="Tahoma"/>
          <w:sz w:val="22"/>
          <w:szCs w:val="22"/>
        </w:rPr>
        <w:t>no consignó</w:t>
      </w:r>
      <w:r w:rsidRPr="0001331A">
        <w:rPr>
          <w:rFonts w:ascii="Tahoma" w:hAnsi="Tahoma" w:cs="Tahoma"/>
          <w:sz w:val="22"/>
          <w:szCs w:val="22"/>
        </w:rPr>
        <w:t xml:space="preserve"> la farmacopea actualizada a la que se acogen para su fabricación</w:t>
      </w:r>
      <w:r>
        <w:rPr>
          <w:rFonts w:ascii="Tahoma" w:hAnsi="Tahoma" w:cs="Tahoma"/>
          <w:sz w:val="22"/>
          <w:szCs w:val="22"/>
        </w:rPr>
        <w:t xml:space="preserve">, según lo establecido </w:t>
      </w:r>
      <w:r>
        <w:rPr>
          <w:rFonts w:ascii="Tahoma" w:hAnsi="Tahoma" w:cs="Tahoma"/>
          <w:sz w:val="22"/>
          <w:szCs w:val="22"/>
          <w:lang w:val="es-PE"/>
        </w:rPr>
        <w:t>en los artículos 28 y 29 del Decreto Supremo Nº 010-97-SA y su modificatoria Decreto Supremo Nº 020-2001-SA</w:t>
      </w:r>
      <w:r>
        <w:rPr>
          <w:rFonts w:ascii="Tahoma" w:hAnsi="Tahoma" w:cs="Tahoma"/>
          <w:sz w:val="22"/>
          <w:szCs w:val="22"/>
        </w:rPr>
        <w:t>, al hacer</w:t>
      </w:r>
      <w:r w:rsidRPr="0001331A">
        <w:rPr>
          <w:rFonts w:ascii="Tahoma" w:hAnsi="Tahoma" w:cs="Tahoma"/>
          <w:sz w:val="22"/>
          <w:szCs w:val="22"/>
        </w:rPr>
        <w:t xml:space="preserve"> referencia al ISO 9001:2000 CE, el mismo que no corresponde a una metodología analítica, sino que corresponde a un sistema de gestión de calidad de la empresa fabricante; asimismo, a través de dicho protocolo, no se ha cumplido con acreditar el material requerido en las especificaciones técnicas de las Bases Integradas, que está referido al material de tela no tejida SMS</w:t>
      </w:r>
      <w:r>
        <w:rPr>
          <w:rFonts w:ascii="Tahoma" w:hAnsi="Tahoma" w:cs="Tahoma"/>
          <w:sz w:val="22"/>
          <w:szCs w:val="22"/>
        </w:rPr>
        <w:t>,</w:t>
      </w:r>
      <w:r w:rsidRPr="00AC23B0">
        <w:rPr>
          <w:rFonts w:ascii="Tahoma" w:hAnsi="Tahoma" w:cs="Tahoma"/>
          <w:sz w:val="22"/>
          <w:szCs w:val="22"/>
          <w:lang w:val="es-PE"/>
        </w:rPr>
        <w:t xml:space="preserve"> </w:t>
      </w:r>
      <w:r w:rsidRPr="00646A41">
        <w:rPr>
          <w:rFonts w:ascii="Tahoma" w:hAnsi="Tahoma" w:cs="Tahoma"/>
          <w:sz w:val="22"/>
          <w:szCs w:val="22"/>
          <w:lang w:val="es-PE"/>
        </w:rPr>
        <w:t>más aún, cuando tampoco ha cumplido con adjuntar</w:t>
      </w:r>
      <w:r>
        <w:rPr>
          <w:rFonts w:ascii="Tahoma" w:hAnsi="Tahoma" w:cs="Tahoma"/>
          <w:sz w:val="22"/>
          <w:szCs w:val="22"/>
          <w:lang w:val="es-PE"/>
        </w:rPr>
        <w:t xml:space="preserve"> la documentación técnica</w:t>
      </w:r>
      <w:r w:rsidRPr="00646A41">
        <w:rPr>
          <w:rFonts w:ascii="Tahoma" w:hAnsi="Tahoma" w:cs="Tahoma"/>
          <w:sz w:val="22"/>
          <w:szCs w:val="22"/>
          <w:lang w:val="es-PE"/>
        </w:rPr>
        <w:t xml:space="preserve"> que acredite el cumplimiento del material requerido</w:t>
      </w:r>
      <w:r>
        <w:rPr>
          <w:rFonts w:ascii="Tahoma" w:hAnsi="Tahoma" w:cs="Tahoma"/>
          <w:sz w:val="22"/>
          <w:szCs w:val="22"/>
          <w:lang w:val="es-PE"/>
        </w:rPr>
        <w:t>.</w:t>
      </w:r>
    </w:p>
    <w:p w:rsidR="00F709D0" w:rsidRPr="00C666AE" w:rsidRDefault="00F709D0" w:rsidP="00F709D0">
      <w:pPr>
        <w:rPr>
          <w:rFonts w:ascii="Tahoma" w:hAnsi="Tahoma" w:cs="Tahoma"/>
          <w:sz w:val="22"/>
          <w:szCs w:val="22"/>
        </w:rPr>
      </w:pPr>
    </w:p>
    <w:p w:rsidR="00F709D0" w:rsidRDefault="00F709D0" w:rsidP="00F709D0">
      <w:pPr>
        <w:pStyle w:val="Prrafodelista"/>
        <w:ind w:left="567"/>
        <w:contextualSpacing/>
        <w:jc w:val="both"/>
        <w:rPr>
          <w:rFonts w:ascii="Tahoma" w:hAnsi="Tahoma" w:cs="Tahoma"/>
          <w:sz w:val="22"/>
          <w:szCs w:val="22"/>
          <w:lang w:val="es-PE"/>
        </w:rPr>
      </w:pPr>
      <w:r>
        <w:rPr>
          <w:rFonts w:ascii="Tahoma" w:hAnsi="Tahoma" w:cs="Tahoma"/>
          <w:sz w:val="22"/>
          <w:szCs w:val="22"/>
        </w:rPr>
        <w:t>Asimismo, señaló que</w:t>
      </w:r>
      <w:r>
        <w:rPr>
          <w:rFonts w:ascii="Tahoma" w:hAnsi="Tahoma" w:cs="Tahoma"/>
          <w:sz w:val="22"/>
          <w:szCs w:val="22"/>
          <w:lang w:val="es-PE"/>
        </w:rPr>
        <w:t xml:space="preserve"> </w:t>
      </w:r>
      <w:r w:rsidRPr="006D1D0D">
        <w:rPr>
          <w:rFonts w:ascii="Tahoma" w:hAnsi="Tahoma" w:cs="Tahoma"/>
          <w:sz w:val="22"/>
          <w:szCs w:val="22"/>
          <w:lang w:val="es-PE"/>
        </w:rPr>
        <w:t>no se puede excluir los controles de calidad realizada</w:t>
      </w:r>
      <w:r>
        <w:rPr>
          <w:rFonts w:ascii="Tahoma" w:hAnsi="Tahoma" w:cs="Tahoma"/>
          <w:sz w:val="22"/>
          <w:szCs w:val="22"/>
          <w:lang w:val="es-PE"/>
        </w:rPr>
        <w:t>s por el fabricante del</w:t>
      </w:r>
      <w:r>
        <w:rPr>
          <w:rFonts w:ascii="Tahoma" w:hAnsi="Tahoma" w:cs="Tahoma"/>
          <w:sz w:val="22"/>
          <w:szCs w:val="22"/>
        </w:rPr>
        <w:t xml:space="preserve"> producto ofertado en el ítem Nº 52, debiéndose tener presente que </w:t>
      </w:r>
      <w:r>
        <w:rPr>
          <w:rFonts w:ascii="Tahoma" w:hAnsi="Tahoma" w:cs="Tahoma"/>
          <w:sz w:val="22"/>
          <w:szCs w:val="22"/>
          <w:lang w:val="es-PE"/>
        </w:rPr>
        <w:t>en el supuesto negado que la Bases contengan un imposible de cumplir, en vista a que el producto ofertado no requiere de protocolo de análisis, se deberá tener en cuenta lo señalado por DIGEMID, en el Oficio Nº 140473-2011-DIGEMID-DAS-ATAG-MINSA de fecha 10 de junio del 2011, en el que se deja a consideración de cada Entidad, establecer los requisitos que deben solicitar para los productos que no requieren registro sanitario, razón por la cual, el protocolo de análisis requerido en las Bases Integradas es de cumplimiento obligatorio para todos los postores.</w:t>
      </w:r>
    </w:p>
    <w:p w:rsidR="00F709D0" w:rsidRDefault="00F709D0" w:rsidP="00F709D0">
      <w:pPr>
        <w:pStyle w:val="Prrafodelista"/>
        <w:ind w:left="567"/>
        <w:contextualSpacing/>
        <w:jc w:val="both"/>
        <w:rPr>
          <w:rFonts w:ascii="Tahoma" w:hAnsi="Tahoma" w:cs="Tahoma"/>
          <w:sz w:val="22"/>
          <w:szCs w:val="22"/>
          <w:lang w:val="es-PE"/>
        </w:rPr>
      </w:pPr>
    </w:p>
    <w:p w:rsidR="00F709D0" w:rsidRPr="00C666AE" w:rsidRDefault="00F709D0" w:rsidP="00F709D0">
      <w:pPr>
        <w:numPr>
          <w:ilvl w:val="0"/>
          <w:numId w:val="1"/>
        </w:numPr>
        <w:tabs>
          <w:tab w:val="num" w:pos="567"/>
        </w:tabs>
        <w:ind w:left="567" w:hanging="567"/>
        <w:jc w:val="both"/>
        <w:rPr>
          <w:rFonts w:ascii="Tahoma" w:hAnsi="Tahoma" w:cs="Tahoma"/>
          <w:sz w:val="22"/>
          <w:szCs w:val="22"/>
        </w:rPr>
      </w:pPr>
      <w:r w:rsidRPr="00C666AE">
        <w:rPr>
          <w:rFonts w:ascii="Tahoma" w:hAnsi="Tahoma" w:cs="Tahoma"/>
          <w:sz w:val="22"/>
          <w:szCs w:val="22"/>
        </w:rPr>
        <w:t xml:space="preserve">Respecto a ello, el Adjudicatario señaló que </w:t>
      </w:r>
      <w:r w:rsidRPr="00C666AE">
        <w:rPr>
          <w:rFonts w:ascii="Tahoma" w:hAnsi="Tahoma" w:cs="Tahoma"/>
          <w:sz w:val="22"/>
          <w:szCs w:val="22"/>
          <w:lang w:val="es-PE"/>
        </w:rPr>
        <w:t>el producto convocado en el ítem Nº 52, referido al Gorro descartable de enfermera, es un producto NO ESTERIL que en la actualidad no está sujeto a otorgamiento de Registro Sanitario por parte de la DIGEMID, por lo tanto, no es de aplicación los artículos 28 y 29 del Decreto Supremo Nº 010-97-SA.</w:t>
      </w:r>
    </w:p>
    <w:p w:rsidR="00F709D0" w:rsidRDefault="00F709D0" w:rsidP="00F709D0">
      <w:pPr>
        <w:pStyle w:val="Prrafodelista"/>
        <w:rPr>
          <w:rFonts w:ascii="Tahoma" w:hAnsi="Tahoma" w:cs="Tahoma"/>
          <w:sz w:val="22"/>
          <w:szCs w:val="22"/>
          <w:lang w:val="es-PE"/>
        </w:rPr>
      </w:pPr>
    </w:p>
    <w:p w:rsidR="00F709D0" w:rsidRDefault="00F709D0" w:rsidP="00F709D0">
      <w:pPr>
        <w:ind w:left="567"/>
        <w:contextualSpacing/>
        <w:jc w:val="both"/>
        <w:rPr>
          <w:rFonts w:ascii="Tahoma" w:hAnsi="Tahoma" w:cs="Tahoma"/>
          <w:sz w:val="22"/>
          <w:szCs w:val="22"/>
          <w:lang w:val="es-PE"/>
        </w:rPr>
      </w:pPr>
      <w:r>
        <w:rPr>
          <w:rFonts w:ascii="Tahoma" w:hAnsi="Tahoma" w:cs="Tahoma"/>
          <w:sz w:val="22"/>
          <w:szCs w:val="22"/>
          <w:lang w:val="es-PE"/>
        </w:rPr>
        <w:t>Asimismo, señaló que el protocolo de análisis presentado en su propuesta, es emitido por el fabricante, donde se menciona una serie de inspecciones que realizan al producto terminado, según la necesidad y la naturaleza del producto, la cual se encuentra visado por las personas encargadas del centro de control de calidad de la fábrica, asimismo, agregó que las pruebas indicadas en dicho documento son las mínimas exigidas por ser un producto no estéril, por lo cual no corresponde descalificar su propuesta al haber cumplido con acreditar todos lo requerimiento técnicos mínimos requeridos.</w:t>
      </w:r>
    </w:p>
    <w:p w:rsidR="00F709D0" w:rsidRPr="0053506D" w:rsidRDefault="00F709D0" w:rsidP="00F709D0">
      <w:pPr>
        <w:ind w:left="567"/>
        <w:jc w:val="both"/>
        <w:rPr>
          <w:rFonts w:ascii="Tahoma" w:hAnsi="Tahoma" w:cs="Tahoma"/>
          <w:sz w:val="22"/>
          <w:szCs w:val="22"/>
          <w:lang w:val="es-PE"/>
        </w:rPr>
      </w:pPr>
    </w:p>
    <w:p w:rsidR="00F709D0" w:rsidRDefault="00F709D0" w:rsidP="00F709D0">
      <w:pPr>
        <w:pStyle w:val="Prrafodelista"/>
        <w:ind w:left="567"/>
        <w:contextualSpacing/>
        <w:jc w:val="both"/>
        <w:rPr>
          <w:rFonts w:ascii="Tahoma" w:hAnsi="Tahoma" w:cs="Tahoma"/>
          <w:sz w:val="22"/>
          <w:szCs w:val="22"/>
          <w:lang w:val="es-PE"/>
        </w:rPr>
      </w:pPr>
      <w:r>
        <w:rPr>
          <w:rFonts w:ascii="Tahoma" w:hAnsi="Tahoma" w:cs="Tahoma"/>
          <w:sz w:val="22"/>
          <w:szCs w:val="22"/>
        </w:rPr>
        <w:t>Finalmente, señaló que</w:t>
      </w:r>
      <w:r>
        <w:rPr>
          <w:rFonts w:ascii="Tahoma" w:hAnsi="Tahoma" w:cs="Tahoma"/>
          <w:sz w:val="22"/>
          <w:szCs w:val="22"/>
          <w:lang w:val="es-PE"/>
        </w:rPr>
        <w:t xml:space="preserve"> el Comité Especial válidamente puede permitir la admisibilidad de su protocolo de análisis, amparándose en las consideraciones vertidas en la Resolución Nº 2710-2008-TC-S4.</w:t>
      </w:r>
    </w:p>
    <w:p w:rsidR="00F709D0" w:rsidRPr="008C233B" w:rsidRDefault="00F709D0" w:rsidP="00F709D0">
      <w:pPr>
        <w:ind w:left="567"/>
        <w:jc w:val="both"/>
        <w:rPr>
          <w:rFonts w:ascii="Tahoma" w:hAnsi="Tahoma" w:cs="Tahoma"/>
          <w:sz w:val="22"/>
          <w:szCs w:val="22"/>
          <w:lang w:val="es-PE"/>
        </w:rPr>
      </w:pPr>
    </w:p>
    <w:p w:rsidR="00F709D0" w:rsidRDefault="00F709D0" w:rsidP="00F709D0">
      <w:pPr>
        <w:numPr>
          <w:ilvl w:val="0"/>
          <w:numId w:val="1"/>
        </w:numPr>
        <w:tabs>
          <w:tab w:val="num" w:pos="567"/>
        </w:tabs>
        <w:ind w:left="567" w:hanging="567"/>
        <w:jc w:val="both"/>
        <w:rPr>
          <w:rFonts w:ascii="Tahoma" w:hAnsi="Tahoma" w:cs="Tahoma"/>
          <w:sz w:val="22"/>
          <w:szCs w:val="22"/>
        </w:rPr>
      </w:pPr>
      <w:r>
        <w:rPr>
          <w:rFonts w:ascii="Tahoma" w:hAnsi="Tahoma" w:cs="Tahoma"/>
          <w:sz w:val="22"/>
          <w:szCs w:val="22"/>
          <w:lang w:val="es-PE"/>
        </w:rPr>
        <w:t>Con</w:t>
      </w:r>
      <w:r>
        <w:rPr>
          <w:rFonts w:ascii="Tahoma" w:hAnsi="Tahoma" w:cs="Tahoma"/>
          <w:sz w:val="22"/>
          <w:szCs w:val="22"/>
        </w:rPr>
        <w:t xml:space="preserve"> relación a lo señalado anteriormente, cabe precisar que en el numeral 2.8.1 “Contenido de las Propuestas” del Capítulo II de las “Etapas del Proceso de Selección” de las Bases Integradas de </w:t>
      </w:r>
      <w:r w:rsidRPr="007E0F4C">
        <w:rPr>
          <w:rFonts w:ascii="Tahoma" w:hAnsi="Tahoma" w:cs="Tahoma"/>
          <w:sz w:val="22"/>
          <w:szCs w:val="22"/>
        </w:rPr>
        <w:t>la Licit</w:t>
      </w:r>
      <w:r>
        <w:rPr>
          <w:rFonts w:ascii="Tahoma" w:hAnsi="Tahoma" w:cs="Tahoma"/>
          <w:sz w:val="22"/>
          <w:szCs w:val="22"/>
        </w:rPr>
        <w:t>ación Pública Nº 004-2010-INSN, se estableció como documentación de presentación obligatoria, lo siguiente:</w:t>
      </w:r>
    </w:p>
    <w:p w:rsidR="00F709D0" w:rsidRDefault="00F709D0" w:rsidP="00F709D0">
      <w:pPr>
        <w:ind w:left="567"/>
        <w:jc w:val="both"/>
        <w:rPr>
          <w:rFonts w:ascii="Tahoma" w:hAnsi="Tahoma" w:cs="Tahoma"/>
          <w:sz w:val="22"/>
          <w:szCs w:val="22"/>
        </w:rPr>
      </w:pPr>
    </w:p>
    <w:p w:rsidR="00F709D0" w:rsidRPr="002D10C7" w:rsidRDefault="00F709D0" w:rsidP="00F709D0">
      <w:pPr>
        <w:pStyle w:val="WW-Textosinformato"/>
        <w:numPr>
          <w:ilvl w:val="0"/>
          <w:numId w:val="15"/>
        </w:numPr>
        <w:tabs>
          <w:tab w:val="right" w:pos="11163"/>
        </w:tabs>
        <w:spacing w:before="60"/>
        <w:ind w:left="993" w:right="282" w:hanging="426"/>
        <w:jc w:val="both"/>
        <w:rPr>
          <w:rFonts w:ascii="Tahoma" w:hAnsi="Tahoma" w:cs="Tahoma"/>
          <w:b/>
          <w:i/>
        </w:rPr>
      </w:pPr>
      <w:r w:rsidRPr="002D10C7">
        <w:rPr>
          <w:rFonts w:ascii="Tahoma" w:hAnsi="Tahoma" w:cs="Tahoma"/>
          <w:b/>
          <w:i/>
        </w:rPr>
        <w:t>Registro Sanitario obligatorio para todos los ítems,</w:t>
      </w:r>
      <w:r w:rsidRPr="002D10C7">
        <w:rPr>
          <w:rFonts w:ascii="Tahoma" w:hAnsi="Tahoma" w:cs="Tahoma"/>
          <w:i/>
        </w:rPr>
        <w:t xml:space="preserve"> emitido por DIGEMID por ser Material Médico, incluidos en el listado de la clasificación de Insumos, Instrumental y Equipos Médicos Quirúrgicos u Odontológicos, aprobado mediante Resolución Ministerial N°283-98-SA-DM y sus ampliatorias, del Decreto Supremo N° 010-97-SA Reglamento de Registro, Control y Vigilancia Sanitaria de productos Farmacéuticos y Afines.</w:t>
      </w:r>
    </w:p>
    <w:p w:rsidR="00F709D0" w:rsidRPr="002D10C7" w:rsidRDefault="00F709D0" w:rsidP="00F709D0">
      <w:pPr>
        <w:widowControl w:val="0"/>
        <w:adjustRightInd w:val="0"/>
        <w:ind w:left="993" w:right="282" w:hanging="426"/>
        <w:jc w:val="both"/>
        <w:textAlignment w:val="baseline"/>
        <w:rPr>
          <w:rFonts w:ascii="Tahoma" w:hAnsi="Tahoma" w:cs="Tahoma"/>
          <w:i/>
        </w:rPr>
      </w:pPr>
    </w:p>
    <w:p w:rsidR="00F709D0" w:rsidRPr="002D10C7" w:rsidRDefault="00F709D0" w:rsidP="00F709D0">
      <w:pPr>
        <w:pStyle w:val="Prrafodelista"/>
        <w:ind w:left="993" w:right="282"/>
        <w:jc w:val="both"/>
        <w:rPr>
          <w:rFonts w:ascii="Tahoma" w:hAnsi="Tahoma" w:cs="Tahoma"/>
          <w:i/>
        </w:rPr>
      </w:pPr>
      <w:r>
        <w:rPr>
          <w:rFonts w:ascii="Tahoma" w:hAnsi="Tahoma" w:cs="Tahoma"/>
          <w:i/>
        </w:rPr>
        <w:t xml:space="preserve">Nota: </w:t>
      </w:r>
      <w:r w:rsidRPr="002D10C7">
        <w:rPr>
          <w:rFonts w:ascii="Tahoma" w:hAnsi="Tahoma" w:cs="Tahoma"/>
          <w:i/>
        </w:rPr>
        <w:t xml:space="preserve">Deberán presentar el Certificado Emitido por </w:t>
      </w:r>
      <w:smartTag w:uri="urn:schemas-microsoft-com:office:smarttags" w:element="PersonName">
        <w:smartTagPr>
          <w:attr w:name="ProductID" w:val="la DIGEMID"/>
        </w:smartTagPr>
        <w:r w:rsidRPr="002D10C7">
          <w:rPr>
            <w:rFonts w:ascii="Tahoma" w:hAnsi="Tahoma" w:cs="Tahoma"/>
            <w:i/>
          </w:rPr>
          <w:t>la DIGEMID</w:t>
        </w:r>
      </w:smartTag>
      <w:r w:rsidRPr="002D10C7">
        <w:rPr>
          <w:rFonts w:ascii="Tahoma" w:hAnsi="Tahoma" w:cs="Tahoma"/>
          <w:i/>
        </w:rPr>
        <w:t xml:space="preserve"> que no requiere Registro Sanitario.</w:t>
      </w:r>
    </w:p>
    <w:p w:rsidR="00F709D0" w:rsidRPr="002D10C7" w:rsidRDefault="00F709D0" w:rsidP="00F709D0">
      <w:pPr>
        <w:pStyle w:val="Prrafodelista"/>
        <w:ind w:left="993" w:right="282" w:hanging="426"/>
        <w:jc w:val="both"/>
        <w:rPr>
          <w:rFonts w:ascii="Tahoma" w:hAnsi="Tahoma" w:cs="Tahoma"/>
          <w:i/>
        </w:rPr>
      </w:pPr>
    </w:p>
    <w:p w:rsidR="00F709D0" w:rsidRPr="002D10C7" w:rsidRDefault="00F709D0" w:rsidP="00F709D0">
      <w:pPr>
        <w:pStyle w:val="Prrafodelista"/>
        <w:widowControl w:val="0"/>
        <w:numPr>
          <w:ilvl w:val="0"/>
          <w:numId w:val="15"/>
        </w:numPr>
        <w:tabs>
          <w:tab w:val="center" w:pos="5844"/>
          <w:tab w:val="right" w:pos="10263"/>
        </w:tabs>
        <w:suppressAutoHyphens/>
        <w:ind w:left="993" w:right="282" w:hanging="426"/>
        <w:jc w:val="both"/>
        <w:rPr>
          <w:rFonts w:ascii="Tahoma" w:hAnsi="Tahoma" w:cs="Tahoma"/>
          <w:i/>
        </w:rPr>
      </w:pPr>
      <w:r w:rsidRPr="002D10C7">
        <w:rPr>
          <w:rFonts w:ascii="Tahoma" w:hAnsi="Tahoma" w:cs="Tahoma"/>
          <w:b/>
          <w:i/>
        </w:rPr>
        <w:t>Protocolo de análisis del producto</w:t>
      </w:r>
      <w:r w:rsidRPr="002D10C7">
        <w:rPr>
          <w:rFonts w:ascii="Tahoma" w:hAnsi="Tahoma" w:cs="Tahoma"/>
          <w:i/>
        </w:rPr>
        <w:t xml:space="preserve">, (copia simple, firmada por el Químico Farmacéutico Regente o Director Técnico de la empresa postora): El protocolo de análisis del producto es un informe técnico emitido por el laboratorio de Control de Calidad del fabricante o por quien encargue su fabricación, suscrito por el analista o los profesionales responsables en el que señala los análisis realizados en todos sus componentes, los límites y los resultados obtenidos en dichos análisis. Deberá estar de acuerdo a lo establecido en los artículos 28º y 29° del D.S.Nº 010-97-SA sustituido por el Artículo 10 del D.S. N° 020-2001-SA, debiendo señalar </w:t>
      </w:r>
      <w:smartTag w:uri="urn:schemas-microsoft-com:office:smarttags" w:element="PersonName">
        <w:smartTagPr>
          <w:attr w:name="ProductID" w:val="la Farmacopea"/>
        </w:smartTagPr>
        <w:r w:rsidRPr="002D10C7">
          <w:rPr>
            <w:rFonts w:ascii="Tahoma" w:hAnsi="Tahoma" w:cs="Tahoma"/>
            <w:i/>
          </w:rPr>
          <w:t>la Farmacopea</w:t>
        </w:r>
      </w:smartTag>
      <w:r w:rsidRPr="002D10C7">
        <w:rPr>
          <w:rFonts w:ascii="Tahoma" w:hAnsi="Tahoma" w:cs="Tahoma"/>
          <w:i/>
        </w:rPr>
        <w:t xml:space="preserve"> actualizada a la que se acogen para su fabricación.</w:t>
      </w:r>
    </w:p>
    <w:p w:rsidR="00F709D0" w:rsidRPr="002D10C7" w:rsidRDefault="00F709D0" w:rsidP="00F709D0">
      <w:pPr>
        <w:pStyle w:val="WW-Textosinformato"/>
        <w:widowControl w:val="0"/>
        <w:tabs>
          <w:tab w:val="right" w:pos="11163"/>
        </w:tabs>
        <w:adjustRightInd w:val="0"/>
        <w:ind w:left="993" w:right="282"/>
        <w:jc w:val="both"/>
        <w:textAlignment w:val="baseline"/>
        <w:rPr>
          <w:rFonts w:ascii="Tahoma" w:hAnsi="Tahoma" w:cs="Tahoma"/>
          <w:i/>
        </w:rPr>
      </w:pPr>
      <w:r w:rsidRPr="002D10C7">
        <w:rPr>
          <w:rFonts w:ascii="Tahoma" w:hAnsi="Tahoma" w:cs="Tahoma"/>
          <w:i/>
        </w:rPr>
        <w:t>Entiéndase como Farmacopea actualizada la última edición existente en el momento de la ejecución del proceso de adquisición. Cabe mencionar</w:t>
      </w:r>
      <w:r w:rsidRPr="002D10C7">
        <w:rPr>
          <w:rFonts w:ascii="Tahoma" w:hAnsi="Tahoma" w:cs="Tahoma"/>
          <w:i/>
          <w:color w:val="0000FF"/>
        </w:rPr>
        <w:t xml:space="preserve"> </w:t>
      </w:r>
      <w:r w:rsidRPr="002D10C7">
        <w:rPr>
          <w:rFonts w:ascii="Tahoma" w:hAnsi="Tahoma" w:cs="Tahoma"/>
          <w:i/>
        </w:rPr>
        <w:t xml:space="preserve">que para el caso de los protocolos analíticos se consigna la edición de </w:t>
      </w:r>
      <w:smartTag w:uri="urn:schemas-microsoft-com:office:smarttags" w:element="PersonName">
        <w:smartTagPr>
          <w:attr w:name="ProductID" w:val="la Farmacopea"/>
        </w:smartTagPr>
        <w:r w:rsidRPr="002D10C7">
          <w:rPr>
            <w:rFonts w:ascii="Tahoma" w:hAnsi="Tahoma" w:cs="Tahoma"/>
            <w:i/>
          </w:rPr>
          <w:t>la Farmacopea</w:t>
        </w:r>
      </w:smartTag>
      <w:r w:rsidRPr="002D10C7">
        <w:rPr>
          <w:rFonts w:ascii="Tahoma" w:hAnsi="Tahoma" w:cs="Tahoma"/>
          <w:i/>
        </w:rPr>
        <w:t xml:space="preserve"> oficial vigente en función de la fecha de fabricación del producto, siempre y cuando no se hayan modificado las pruebas y/o Especificaciones Técnicas.</w:t>
      </w:r>
    </w:p>
    <w:p w:rsidR="00F709D0" w:rsidRDefault="00F709D0" w:rsidP="00F709D0">
      <w:pPr>
        <w:ind w:left="567"/>
        <w:jc w:val="both"/>
        <w:rPr>
          <w:rFonts w:ascii="Tahoma" w:hAnsi="Tahoma" w:cs="Tahoma"/>
          <w:sz w:val="22"/>
          <w:szCs w:val="22"/>
          <w:lang w:val="es-PE"/>
        </w:rPr>
      </w:pPr>
    </w:p>
    <w:p w:rsidR="00F709D0" w:rsidRDefault="00F709D0" w:rsidP="00F709D0">
      <w:pPr>
        <w:numPr>
          <w:ilvl w:val="0"/>
          <w:numId w:val="1"/>
        </w:numPr>
        <w:tabs>
          <w:tab w:val="num" w:pos="567"/>
        </w:tabs>
        <w:ind w:left="567" w:hanging="567"/>
        <w:jc w:val="both"/>
        <w:rPr>
          <w:rFonts w:ascii="Tahoma" w:hAnsi="Tahoma" w:cs="Tahoma"/>
          <w:sz w:val="22"/>
          <w:szCs w:val="22"/>
          <w:lang w:val="es-PE"/>
        </w:rPr>
      </w:pPr>
      <w:r w:rsidRPr="00A16A23">
        <w:rPr>
          <w:rFonts w:ascii="Tahoma" w:hAnsi="Tahoma" w:cs="Tahoma"/>
          <w:sz w:val="22"/>
          <w:szCs w:val="22"/>
        </w:rPr>
        <w:t>Ahora bien, se debe señalar que</w:t>
      </w:r>
      <w:r w:rsidRPr="00A16A23">
        <w:rPr>
          <w:rFonts w:ascii="Tahoma" w:hAnsi="Tahoma" w:cs="Tahoma"/>
          <w:sz w:val="22"/>
          <w:szCs w:val="22"/>
          <w:lang w:val="es-PE"/>
        </w:rPr>
        <w:t xml:space="preserve"> el Reglamento para el Registro, Control y Vigilancia Sanitaria de Productos Farmacéuticos y Afines, aprobado mediante </w:t>
      </w:r>
      <w:r>
        <w:rPr>
          <w:rFonts w:ascii="Tahoma" w:hAnsi="Tahoma" w:cs="Tahoma"/>
          <w:sz w:val="22"/>
          <w:szCs w:val="22"/>
          <w:lang w:val="es-PE"/>
        </w:rPr>
        <w:t>Decreto S</w:t>
      </w:r>
      <w:r w:rsidRPr="00A16A23">
        <w:rPr>
          <w:rFonts w:ascii="Tahoma" w:hAnsi="Tahoma" w:cs="Tahoma"/>
          <w:sz w:val="22"/>
          <w:szCs w:val="22"/>
          <w:lang w:val="es-PE"/>
        </w:rPr>
        <w:t>upremo Nº 010-97-SA</w:t>
      </w:r>
      <w:r>
        <w:rPr>
          <w:rFonts w:ascii="Tahoma" w:hAnsi="Tahoma" w:cs="Tahoma"/>
          <w:sz w:val="22"/>
          <w:szCs w:val="22"/>
          <w:lang w:val="es-PE"/>
        </w:rPr>
        <w:t xml:space="preserve">, modificado por </w:t>
      </w:r>
      <w:r w:rsidRPr="00F57F4E">
        <w:rPr>
          <w:rFonts w:ascii="Tahoma" w:hAnsi="Tahoma" w:cs="Tahoma"/>
          <w:sz w:val="22"/>
          <w:szCs w:val="22"/>
          <w:lang w:val="es-PE"/>
        </w:rPr>
        <w:t>el Decreto Supremo Nº 020-2001-SA</w:t>
      </w:r>
      <w:r>
        <w:rPr>
          <w:rFonts w:ascii="Tahoma" w:hAnsi="Tahoma" w:cs="Tahoma"/>
          <w:sz w:val="22"/>
          <w:szCs w:val="22"/>
          <w:lang w:val="es-PE"/>
        </w:rPr>
        <w:t>, expresamente establece lo siguiente:</w:t>
      </w:r>
    </w:p>
    <w:p w:rsidR="00F709D0" w:rsidRDefault="00F709D0" w:rsidP="00F709D0">
      <w:pPr>
        <w:ind w:left="567"/>
        <w:jc w:val="both"/>
        <w:rPr>
          <w:rFonts w:ascii="Tahoma" w:hAnsi="Tahoma" w:cs="Tahoma"/>
          <w:sz w:val="22"/>
          <w:szCs w:val="22"/>
          <w:lang w:val="es-PE"/>
        </w:rPr>
      </w:pPr>
    </w:p>
    <w:p w:rsidR="00F709D0" w:rsidRPr="00F57F4E" w:rsidRDefault="00F709D0" w:rsidP="00F709D0">
      <w:pPr>
        <w:ind w:left="851" w:right="282"/>
        <w:jc w:val="both"/>
        <w:rPr>
          <w:rFonts w:ascii="Tahoma" w:hAnsi="Tahoma" w:cs="Tahoma"/>
          <w:i/>
          <w:sz w:val="18"/>
          <w:szCs w:val="18"/>
          <w:lang w:val="es-PE"/>
        </w:rPr>
      </w:pPr>
      <w:r w:rsidRPr="00BC3CD9">
        <w:rPr>
          <w:rFonts w:ascii="Tahoma" w:hAnsi="Tahoma" w:cs="Tahoma"/>
          <w:b/>
          <w:i/>
          <w:sz w:val="18"/>
          <w:szCs w:val="18"/>
          <w:lang w:val="es-PE"/>
        </w:rPr>
        <w:t>Artículo 28</w:t>
      </w:r>
      <w:r w:rsidRPr="00F57F4E">
        <w:rPr>
          <w:rFonts w:ascii="Tahoma" w:hAnsi="Tahoma" w:cs="Tahoma"/>
          <w:i/>
          <w:sz w:val="18"/>
          <w:szCs w:val="18"/>
          <w:lang w:val="es-PE"/>
        </w:rPr>
        <w:t>.- El protocolo de análisis del producto es un informe técnico emitido por el laboratorio de Control de Calidad del fabricante o por quien encargue su fabricación, suscrito por el analista o los profesionales responsables en el que señala los análisis realizados en todos sus componentes, los límites y los resultados obtenidos en dichos análisis, con arreglo a las exigencias contempladas en la farmacopea o metodología declarada por el interesado en su solicitud.</w:t>
      </w:r>
    </w:p>
    <w:p w:rsidR="00F709D0" w:rsidRPr="00F57F4E" w:rsidRDefault="00F709D0" w:rsidP="00F709D0">
      <w:pPr>
        <w:ind w:left="851" w:right="282"/>
        <w:jc w:val="both"/>
        <w:rPr>
          <w:rFonts w:ascii="Tahoma" w:hAnsi="Tahoma" w:cs="Tahoma"/>
          <w:i/>
          <w:sz w:val="18"/>
          <w:szCs w:val="18"/>
          <w:lang w:val="es-PE"/>
        </w:rPr>
      </w:pPr>
      <w:r w:rsidRPr="00F57F4E">
        <w:rPr>
          <w:rFonts w:ascii="Tahoma" w:hAnsi="Tahoma" w:cs="Tahoma"/>
          <w:i/>
          <w:sz w:val="18"/>
          <w:szCs w:val="18"/>
          <w:lang w:val="es-PE"/>
        </w:rPr>
        <w:t xml:space="preserve">En el caso que el fabricante o quien encargue su fabricación no efectúe alguna de las pruebas consignadas en la farmacopea declarada o normas técnicas propias a las que se acoja el fabricante, a efectos de obtener el Registro Sanitario respectivo, dichas pruebas podrán efectuarse por el interesado en cualquier laboratorio acreditado de la Red Nacional de Laboratorios de Control de Calidad. En tales casos, DIGEMID podrá autorizar el </w:t>
      </w:r>
      <w:r w:rsidRPr="00F57F4E">
        <w:rPr>
          <w:rFonts w:ascii="Tahoma" w:hAnsi="Tahoma" w:cs="Tahoma"/>
          <w:i/>
          <w:sz w:val="18"/>
          <w:szCs w:val="18"/>
          <w:lang w:val="es-PE"/>
        </w:rPr>
        <w:lastRenderedPageBreak/>
        <w:t>internamiento de las muestras que resulten necesarias para la realización de dichas pruebas.</w:t>
      </w:r>
    </w:p>
    <w:p w:rsidR="00F709D0" w:rsidRPr="00F57F4E" w:rsidRDefault="00F709D0" w:rsidP="00F709D0">
      <w:pPr>
        <w:ind w:left="851" w:right="282"/>
        <w:jc w:val="both"/>
        <w:rPr>
          <w:rFonts w:ascii="Tahoma" w:hAnsi="Tahoma" w:cs="Tahoma"/>
          <w:i/>
          <w:sz w:val="18"/>
          <w:szCs w:val="18"/>
          <w:lang w:val="es-PE"/>
        </w:rPr>
      </w:pPr>
      <w:r w:rsidRPr="00F57F4E">
        <w:rPr>
          <w:rFonts w:ascii="Tahoma" w:hAnsi="Tahoma" w:cs="Tahoma"/>
          <w:i/>
          <w:sz w:val="18"/>
          <w:szCs w:val="18"/>
          <w:lang w:val="es-PE"/>
        </w:rPr>
        <w:t>En el caso de laboratorios que encargan la fabricación a terceros también podrán emitir protocolos de análisis de los productos que mandan elaborar siempre que cumplan con las Buenas Prácticas de Manufactura.</w:t>
      </w:r>
    </w:p>
    <w:p w:rsidR="00F709D0" w:rsidRPr="00F57F4E" w:rsidRDefault="00F709D0" w:rsidP="00F709D0">
      <w:pPr>
        <w:ind w:left="851" w:right="282"/>
        <w:jc w:val="both"/>
        <w:rPr>
          <w:rFonts w:ascii="Tahoma" w:hAnsi="Tahoma" w:cs="Tahoma"/>
          <w:i/>
          <w:sz w:val="18"/>
          <w:szCs w:val="18"/>
          <w:lang w:val="es-PE"/>
        </w:rPr>
      </w:pPr>
      <w:r w:rsidRPr="00F57F4E">
        <w:rPr>
          <w:rFonts w:ascii="Tahoma" w:hAnsi="Tahoma" w:cs="Tahoma"/>
          <w:i/>
          <w:sz w:val="18"/>
          <w:szCs w:val="18"/>
          <w:lang w:val="es-PE"/>
        </w:rPr>
        <w:t>En caso de que en el protocolo de análisis no se consigne los límites o especificaciones del producto o la metodología o técnica propia del fabricante, éstos podrán presentarse en una hoja adicional adjunta, suscrita por el o los profesionales responsables, la cual deberá ser considerada como parte de dicho protocolo analítico.</w:t>
      </w:r>
    </w:p>
    <w:p w:rsidR="00F709D0" w:rsidRPr="00F57F4E" w:rsidRDefault="00F709D0" w:rsidP="00F709D0">
      <w:pPr>
        <w:ind w:left="851" w:right="282"/>
        <w:jc w:val="both"/>
        <w:rPr>
          <w:rFonts w:ascii="Tahoma" w:hAnsi="Tahoma" w:cs="Tahoma"/>
          <w:i/>
          <w:sz w:val="18"/>
          <w:szCs w:val="18"/>
          <w:lang w:val="es-PE"/>
        </w:rPr>
      </w:pPr>
      <w:r w:rsidRPr="00F57F4E">
        <w:rPr>
          <w:rFonts w:ascii="Tahoma" w:hAnsi="Tahoma" w:cs="Tahoma"/>
          <w:i/>
          <w:sz w:val="18"/>
          <w:szCs w:val="18"/>
          <w:lang w:val="es-PE"/>
        </w:rPr>
        <w:t>Cuando la forma farmacéutica del producto no se encuentre en la farmacopea aceptada por ley, se aceptará la técnica analítica o la técnica propia del fabricante.</w:t>
      </w:r>
    </w:p>
    <w:p w:rsidR="00F709D0" w:rsidRPr="00F57F4E" w:rsidRDefault="00F709D0" w:rsidP="00F709D0">
      <w:pPr>
        <w:ind w:left="851" w:right="282"/>
        <w:jc w:val="both"/>
        <w:rPr>
          <w:rFonts w:ascii="Tahoma" w:hAnsi="Tahoma" w:cs="Tahoma"/>
          <w:i/>
          <w:sz w:val="18"/>
          <w:szCs w:val="18"/>
          <w:lang w:val="es-PE"/>
        </w:rPr>
      </w:pPr>
      <w:r w:rsidRPr="00F57F4E">
        <w:rPr>
          <w:rFonts w:ascii="Tahoma" w:hAnsi="Tahoma" w:cs="Tahoma"/>
          <w:i/>
          <w:sz w:val="18"/>
          <w:szCs w:val="18"/>
          <w:lang w:val="es-PE"/>
        </w:rPr>
        <w:t>Mediante el protocolo de análisis se garantiza la calidad del producto cuyo registro se solicita.”</w:t>
      </w:r>
    </w:p>
    <w:p w:rsidR="00F709D0" w:rsidRPr="00F57F4E" w:rsidRDefault="00F709D0" w:rsidP="00F709D0">
      <w:pPr>
        <w:ind w:left="851" w:right="282"/>
        <w:jc w:val="both"/>
        <w:rPr>
          <w:rFonts w:ascii="Tahoma" w:hAnsi="Tahoma" w:cs="Tahoma"/>
          <w:i/>
          <w:sz w:val="18"/>
          <w:szCs w:val="18"/>
          <w:lang w:val="es-PE"/>
        </w:rPr>
      </w:pPr>
    </w:p>
    <w:p w:rsidR="00F709D0" w:rsidRPr="00F57F4E" w:rsidRDefault="00F709D0" w:rsidP="00F709D0">
      <w:pPr>
        <w:ind w:left="851" w:right="282"/>
        <w:jc w:val="both"/>
        <w:rPr>
          <w:rFonts w:ascii="Tahoma" w:hAnsi="Tahoma" w:cs="Tahoma"/>
          <w:i/>
          <w:sz w:val="18"/>
          <w:szCs w:val="18"/>
          <w:lang w:val="es-PE"/>
        </w:rPr>
      </w:pPr>
      <w:r w:rsidRPr="00F57F4E">
        <w:rPr>
          <w:rFonts w:ascii="Tahoma" w:hAnsi="Tahoma" w:cs="Tahoma"/>
          <w:i/>
          <w:sz w:val="18"/>
          <w:szCs w:val="18"/>
          <w:lang w:val="es-PE"/>
        </w:rPr>
        <w:t>“</w:t>
      </w:r>
      <w:r w:rsidRPr="00BC3CD9">
        <w:rPr>
          <w:rFonts w:ascii="Tahoma" w:hAnsi="Tahoma" w:cs="Tahoma"/>
          <w:b/>
          <w:i/>
          <w:sz w:val="18"/>
          <w:szCs w:val="18"/>
          <w:lang w:val="es-PE"/>
        </w:rPr>
        <w:t>Artículo 29.-</w:t>
      </w:r>
      <w:r w:rsidRPr="00F57F4E">
        <w:rPr>
          <w:rFonts w:ascii="Tahoma" w:hAnsi="Tahoma" w:cs="Tahoma"/>
          <w:i/>
          <w:sz w:val="18"/>
          <w:szCs w:val="18"/>
          <w:lang w:val="es-PE"/>
        </w:rPr>
        <w:t xml:space="preserve"> El protocolo de análisis debe consignar cuando menos lo siguiente:</w:t>
      </w:r>
    </w:p>
    <w:p w:rsidR="00F709D0" w:rsidRPr="00F57F4E" w:rsidRDefault="00F709D0" w:rsidP="00F709D0">
      <w:pPr>
        <w:ind w:left="851" w:right="282"/>
        <w:jc w:val="both"/>
        <w:rPr>
          <w:rFonts w:ascii="Tahoma" w:hAnsi="Tahoma" w:cs="Tahoma"/>
          <w:i/>
          <w:sz w:val="18"/>
          <w:szCs w:val="18"/>
          <w:lang w:val="es-PE"/>
        </w:rPr>
      </w:pPr>
    </w:p>
    <w:p w:rsidR="00F709D0" w:rsidRPr="00F57F4E" w:rsidRDefault="00F709D0" w:rsidP="00F709D0">
      <w:pPr>
        <w:ind w:left="851" w:right="282"/>
        <w:jc w:val="both"/>
        <w:rPr>
          <w:rFonts w:ascii="Tahoma" w:hAnsi="Tahoma" w:cs="Tahoma"/>
          <w:i/>
          <w:sz w:val="18"/>
          <w:szCs w:val="18"/>
          <w:lang w:val="es-PE"/>
        </w:rPr>
      </w:pPr>
      <w:r w:rsidRPr="00F57F4E">
        <w:rPr>
          <w:rFonts w:ascii="Tahoma" w:hAnsi="Tahoma" w:cs="Tahoma"/>
          <w:i/>
          <w:sz w:val="18"/>
          <w:szCs w:val="18"/>
          <w:lang w:val="es-PE"/>
        </w:rPr>
        <w:tab/>
        <w:t>a) Nombre del laboratorio que emite el protocolo de análisis.</w:t>
      </w:r>
    </w:p>
    <w:p w:rsidR="00F709D0" w:rsidRPr="00F57F4E" w:rsidRDefault="00F709D0" w:rsidP="00F709D0">
      <w:pPr>
        <w:ind w:left="851" w:right="282"/>
        <w:jc w:val="both"/>
        <w:rPr>
          <w:rFonts w:ascii="Tahoma" w:hAnsi="Tahoma" w:cs="Tahoma"/>
          <w:i/>
          <w:sz w:val="18"/>
          <w:szCs w:val="18"/>
          <w:lang w:val="es-PE"/>
        </w:rPr>
      </w:pPr>
      <w:r w:rsidRPr="00F57F4E">
        <w:rPr>
          <w:rFonts w:ascii="Tahoma" w:hAnsi="Tahoma" w:cs="Tahoma"/>
          <w:i/>
          <w:sz w:val="18"/>
          <w:szCs w:val="18"/>
          <w:lang w:val="es-PE"/>
        </w:rPr>
        <w:tab/>
        <w:t>b) El nombre del producto.</w:t>
      </w:r>
    </w:p>
    <w:p w:rsidR="00F709D0" w:rsidRPr="00F57F4E" w:rsidRDefault="00F709D0" w:rsidP="00F709D0">
      <w:pPr>
        <w:ind w:left="851" w:right="282"/>
        <w:jc w:val="both"/>
        <w:rPr>
          <w:rFonts w:ascii="Tahoma" w:hAnsi="Tahoma" w:cs="Tahoma"/>
          <w:i/>
          <w:sz w:val="18"/>
          <w:szCs w:val="18"/>
          <w:lang w:val="es-PE"/>
        </w:rPr>
      </w:pPr>
      <w:r w:rsidRPr="00F57F4E">
        <w:rPr>
          <w:rFonts w:ascii="Tahoma" w:hAnsi="Tahoma" w:cs="Tahoma"/>
          <w:i/>
          <w:sz w:val="18"/>
          <w:szCs w:val="18"/>
          <w:lang w:val="es-PE"/>
        </w:rPr>
        <w:tab/>
        <w:t>c) La forma farmacéutica o cosmética, cuando corresponda.</w:t>
      </w:r>
    </w:p>
    <w:p w:rsidR="00F709D0" w:rsidRDefault="00F709D0" w:rsidP="00F709D0">
      <w:pPr>
        <w:ind w:left="1418" w:right="282"/>
        <w:jc w:val="both"/>
        <w:rPr>
          <w:rFonts w:ascii="Tahoma" w:hAnsi="Tahoma" w:cs="Tahoma"/>
          <w:i/>
          <w:sz w:val="18"/>
          <w:szCs w:val="18"/>
          <w:lang w:val="es-PE"/>
        </w:rPr>
      </w:pPr>
      <w:r w:rsidRPr="00F57F4E">
        <w:rPr>
          <w:rFonts w:ascii="Tahoma" w:hAnsi="Tahoma" w:cs="Tahoma"/>
          <w:i/>
          <w:sz w:val="18"/>
          <w:szCs w:val="18"/>
          <w:lang w:val="es-PE"/>
        </w:rPr>
        <w:t>d) La farmacopea o suplemento de referencia actualizado al que se acoge el fabricante, o cuando el producto no se encuentre en farmacopea la metodología analítica o norma técnica propia a la que se acoge el fabricante.</w:t>
      </w:r>
    </w:p>
    <w:p w:rsidR="00F709D0" w:rsidRPr="00F57F4E" w:rsidRDefault="00F709D0" w:rsidP="00F709D0">
      <w:pPr>
        <w:ind w:left="1418" w:right="282"/>
        <w:jc w:val="both"/>
        <w:rPr>
          <w:rFonts w:ascii="Tahoma" w:hAnsi="Tahoma" w:cs="Tahoma"/>
          <w:i/>
          <w:sz w:val="18"/>
          <w:szCs w:val="18"/>
          <w:lang w:val="es-PE"/>
        </w:rPr>
      </w:pPr>
      <w:r w:rsidRPr="00F57F4E">
        <w:rPr>
          <w:rFonts w:ascii="Tahoma" w:hAnsi="Tahoma" w:cs="Tahoma"/>
          <w:i/>
          <w:sz w:val="18"/>
          <w:szCs w:val="18"/>
          <w:lang w:val="es-PE"/>
        </w:rPr>
        <w:t>e) Fecha de vencimiento.</w:t>
      </w:r>
    </w:p>
    <w:p w:rsidR="00F709D0" w:rsidRPr="00F57F4E" w:rsidRDefault="00F709D0" w:rsidP="00F709D0">
      <w:pPr>
        <w:ind w:left="851" w:right="282"/>
        <w:jc w:val="both"/>
        <w:rPr>
          <w:rFonts w:ascii="Tahoma" w:hAnsi="Tahoma" w:cs="Tahoma"/>
          <w:i/>
          <w:sz w:val="18"/>
          <w:szCs w:val="18"/>
          <w:lang w:val="es-PE"/>
        </w:rPr>
      </w:pPr>
      <w:r w:rsidRPr="00F57F4E">
        <w:rPr>
          <w:rFonts w:ascii="Tahoma" w:hAnsi="Tahoma" w:cs="Tahoma"/>
          <w:i/>
          <w:sz w:val="18"/>
          <w:szCs w:val="18"/>
          <w:lang w:val="es-PE"/>
        </w:rPr>
        <w:tab/>
        <w:t>f) El número de lote.</w:t>
      </w:r>
    </w:p>
    <w:p w:rsidR="00F709D0" w:rsidRPr="00F57F4E" w:rsidRDefault="00F709D0" w:rsidP="00F709D0">
      <w:pPr>
        <w:ind w:left="851" w:right="282"/>
        <w:jc w:val="both"/>
        <w:rPr>
          <w:rFonts w:ascii="Tahoma" w:hAnsi="Tahoma" w:cs="Tahoma"/>
          <w:i/>
          <w:sz w:val="18"/>
          <w:szCs w:val="18"/>
          <w:lang w:val="es-PE"/>
        </w:rPr>
      </w:pPr>
      <w:r w:rsidRPr="00F57F4E">
        <w:rPr>
          <w:rFonts w:ascii="Tahoma" w:hAnsi="Tahoma" w:cs="Tahoma"/>
          <w:i/>
          <w:sz w:val="18"/>
          <w:szCs w:val="18"/>
          <w:lang w:val="es-PE"/>
        </w:rPr>
        <w:tab/>
        <w:t>g) La fecha de análisis.</w:t>
      </w:r>
    </w:p>
    <w:p w:rsidR="00F709D0" w:rsidRPr="00F57F4E" w:rsidRDefault="00F709D0" w:rsidP="00F709D0">
      <w:pPr>
        <w:ind w:left="1418" w:right="282" w:hanging="567"/>
        <w:jc w:val="both"/>
        <w:rPr>
          <w:rFonts w:ascii="Tahoma" w:hAnsi="Tahoma" w:cs="Tahoma"/>
          <w:i/>
          <w:sz w:val="18"/>
          <w:szCs w:val="18"/>
          <w:lang w:val="es-PE"/>
        </w:rPr>
      </w:pPr>
      <w:r w:rsidRPr="00F57F4E">
        <w:rPr>
          <w:rFonts w:ascii="Tahoma" w:hAnsi="Tahoma" w:cs="Tahoma"/>
          <w:i/>
          <w:sz w:val="18"/>
          <w:szCs w:val="18"/>
          <w:lang w:val="es-PE"/>
        </w:rPr>
        <w:tab/>
        <w:t>h) Los análisis físico-químicos y microbiológicos, farmacológicos y/o biológicos cuando correspondan señalando las especificaciones, límites de aceptación y resultados obtenidos.</w:t>
      </w:r>
    </w:p>
    <w:p w:rsidR="00F709D0" w:rsidRPr="00F57F4E" w:rsidRDefault="00F709D0" w:rsidP="00F709D0">
      <w:pPr>
        <w:ind w:left="851" w:right="282"/>
        <w:jc w:val="both"/>
        <w:rPr>
          <w:rFonts w:ascii="Tahoma" w:hAnsi="Tahoma" w:cs="Tahoma"/>
          <w:i/>
          <w:sz w:val="18"/>
          <w:szCs w:val="18"/>
          <w:lang w:val="es-PE"/>
        </w:rPr>
      </w:pPr>
      <w:r w:rsidRPr="00F57F4E">
        <w:rPr>
          <w:rFonts w:ascii="Tahoma" w:hAnsi="Tahoma" w:cs="Tahoma"/>
          <w:i/>
          <w:sz w:val="18"/>
          <w:szCs w:val="18"/>
          <w:lang w:val="es-PE"/>
        </w:rPr>
        <w:tab/>
        <w:t>i) Firma del o los profesionales responsables del control de calidad.</w:t>
      </w:r>
    </w:p>
    <w:p w:rsidR="00F709D0" w:rsidRPr="00F57F4E" w:rsidRDefault="00F709D0" w:rsidP="00F709D0">
      <w:pPr>
        <w:ind w:left="1418" w:right="282" w:hanging="567"/>
        <w:jc w:val="both"/>
        <w:rPr>
          <w:rFonts w:ascii="Tahoma" w:hAnsi="Tahoma" w:cs="Tahoma"/>
          <w:i/>
          <w:sz w:val="18"/>
          <w:szCs w:val="18"/>
          <w:lang w:val="es-PE"/>
        </w:rPr>
      </w:pPr>
      <w:r w:rsidRPr="00F57F4E">
        <w:rPr>
          <w:rFonts w:ascii="Tahoma" w:hAnsi="Tahoma" w:cs="Tahoma"/>
          <w:i/>
          <w:sz w:val="18"/>
          <w:szCs w:val="18"/>
          <w:lang w:val="es-PE"/>
        </w:rPr>
        <w:tab/>
        <w:t>j) Las demás especificaciones particulares que para cada tipo de producto, se establecen en el presente Reglamento.</w:t>
      </w:r>
    </w:p>
    <w:p w:rsidR="00F709D0" w:rsidRDefault="00F709D0" w:rsidP="00F709D0">
      <w:pPr>
        <w:ind w:left="567"/>
        <w:jc w:val="both"/>
        <w:rPr>
          <w:rFonts w:ascii="Tahoma" w:hAnsi="Tahoma" w:cs="Tahoma"/>
          <w:sz w:val="22"/>
          <w:szCs w:val="22"/>
          <w:lang w:val="es-PE"/>
        </w:rPr>
      </w:pPr>
    </w:p>
    <w:p w:rsidR="00F709D0" w:rsidRDefault="00F709D0" w:rsidP="00F709D0">
      <w:pPr>
        <w:numPr>
          <w:ilvl w:val="0"/>
          <w:numId w:val="1"/>
        </w:numPr>
        <w:tabs>
          <w:tab w:val="num" w:pos="567"/>
        </w:tabs>
        <w:ind w:left="567" w:hanging="567"/>
        <w:jc w:val="both"/>
        <w:rPr>
          <w:rFonts w:ascii="Tahoma" w:hAnsi="Tahoma" w:cs="Tahoma"/>
          <w:sz w:val="22"/>
          <w:szCs w:val="22"/>
          <w:lang w:val="es-PE"/>
        </w:rPr>
      </w:pPr>
      <w:r>
        <w:rPr>
          <w:rFonts w:ascii="Tahoma" w:hAnsi="Tahoma" w:cs="Tahoma"/>
          <w:sz w:val="22"/>
          <w:szCs w:val="22"/>
          <w:lang w:val="es-PE"/>
        </w:rPr>
        <w:t>Nótese entonces,</w:t>
      </w:r>
      <w:r w:rsidRPr="00C15435">
        <w:rPr>
          <w:rFonts w:ascii="Tahoma" w:hAnsi="Tahoma" w:cs="Tahoma"/>
          <w:sz w:val="22"/>
          <w:szCs w:val="22"/>
          <w:lang w:val="es-PE"/>
        </w:rPr>
        <w:t xml:space="preserve"> que a través del protocolo de análisis, se busca garantizar la calidad del producto cuyo Registro Sanitario se solicita, razón por la cual se debe señalar, entre otros, los análisis realizados en todos sus componentes, los límites y los resultados obtenidos en dichos análisis, con arreglo a las exigencias contempladas en la farmacopea o metodología declarada por el interesado en su solicitud</w:t>
      </w:r>
      <w:r>
        <w:rPr>
          <w:rFonts w:ascii="Tahoma" w:hAnsi="Tahoma" w:cs="Tahoma"/>
          <w:sz w:val="22"/>
          <w:szCs w:val="22"/>
          <w:lang w:val="es-PE"/>
        </w:rPr>
        <w:t>.</w:t>
      </w:r>
    </w:p>
    <w:p w:rsidR="00F709D0" w:rsidRDefault="00F709D0" w:rsidP="00F709D0">
      <w:pPr>
        <w:ind w:left="567"/>
        <w:jc w:val="both"/>
        <w:rPr>
          <w:rFonts w:ascii="Tahoma" w:hAnsi="Tahoma" w:cs="Tahoma"/>
          <w:sz w:val="22"/>
          <w:szCs w:val="22"/>
          <w:lang w:val="es-PE"/>
        </w:rPr>
      </w:pPr>
    </w:p>
    <w:p w:rsidR="00F709D0" w:rsidRPr="00802C7C" w:rsidRDefault="00F709D0" w:rsidP="00F709D0">
      <w:pPr>
        <w:numPr>
          <w:ilvl w:val="0"/>
          <w:numId w:val="1"/>
        </w:numPr>
        <w:tabs>
          <w:tab w:val="num" w:pos="567"/>
        </w:tabs>
        <w:ind w:left="567" w:hanging="567"/>
        <w:jc w:val="both"/>
        <w:rPr>
          <w:rFonts w:ascii="Tahoma" w:hAnsi="Tahoma" w:cs="Tahoma"/>
          <w:sz w:val="22"/>
          <w:szCs w:val="22"/>
          <w:lang w:val="es-PE"/>
        </w:rPr>
      </w:pPr>
      <w:r>
        <w:rPr>
          <w:rFonts w:ascii="Tahoma" w:hAnsi="Tahoma" w:cs="Tahoma"/>
          <w:sz w:val="22"/>
          <w:szCs w:val="22"/>
          <w:lang w:val="es-PE"/>
        </w:rPr>
        <w:t xml:space="preserve">No obstante ello, tal como lo ha señalado la Adjudicataria, </w:t>
      </w:r>
      <w:r w:rsidRPr="00802C7C">
        <w:rPr>
          <w:rFonts w:ascii="Tahoma" w:hAnsi="Tahoma" w:cs="Tahoma"/>
          <w:sz w:val="22"/>
          <w:szCs w:val="22"/>
        </w:rPr>
        <w:t>el producto convocado en el ítem Nº 52 del acotado proceso de selección, es decir, Gorro Descartable de Enfermería, no está sujeto al otorgamiento del Registro Sanitario por la Dirección General de Medicamentos, Insumos y Drogas, por no encontrarse incluido en el listado de la Clasificación de Material e Insumo, Instrumental o Equipo de uso Médico Quirúrgico u Odontológico aprobado con Resolución Ministerial Nº 283-2009-SA/DM de fecha 19 de mayo de 1998, tal como se puede advertir del Oficio Nº 21086-2010-DIGEMID-DAS-ATAG/MINSA de fecha 18 de noviembre del 2010 y del Oficio Nº 3699-2008-DIGEMID-DG-DAS/MINSA de fecha 04 de diciembre del 2008, obrante a fojas 068 y 039 del presente expediente.</w:t>
      </w:r>
    </w:p>
    <w:p w:rsidR="00F709D0" w:rsidRPr="00802C7C" w:rsidRDefault="00F709D0" w:rsidP="00F709D0">
      <w:pPr>
        <w:ind w:left="567"/>
        <w:jc w:val="both"/>
        <w:rPr>
          <w:rFonts w:ascii="Tahoma" w:hAnsi="Tahoma" w:cs="Tahoma"/>
          <w:sz w:val="22"/>
          <w:szCs w:val="22"/>
          <w:lang w:val="es-PE"/>
        </w:rPr>
      </w:pPr>
    </w:p>
    <w:p w:rsidR="00F709D0" w:rsidRDefault="00F709D0" w:rsidP="00F709D0">
      <w:pPr>
        <w:ind w:left="567"/>
        <w:jc w:val="both"/>
        <w:rPr>
          <w:rFonts w:ascii="Tahoma" w:hAnsi="Tahoma" w:cs="Tahoma"/>
          <w:sz w:val="22"/>
          <w:szCs w:val="22"/>
        </w:rPr>
      </w:pPr>
      <w:r>
        <w:rPr>
          <w:rFonts w:ascii="Tahoma" w:hAnsi="Tahoma" w:cs="Tahoma"/>
          <w:sz w:val="22"/>
          <w:szCs w:val="22"/>
        </w:rPr>
        <w:t>Asimismo, en el Oficio Nº 15936-2010-DIGEMID-DAS-ATAG/MINSA de fecha 26 de agosto del 2010, obrante a fojas 70 del presente expediente, la Dirección General de Medicamentos, Insumos y Drogas señaló que al no estar sujeto al otorgamiento de registro sanitario el gorro para enfermera descartable (no estéril), los establecimientos que los almacenan y fabrican no son objeto de ningún certificado ni exigencia por parte de dicha entidad.</w:t>
      </w:r>
    </w:p>
    <w:p w:rsidR="00F709D0" w:rsidRDefault="00F709D0" w:rsidP="00F709D0">
      <w:pPr>
        <w:ind w:left="567"/>
        <w:jc w:val="both"/>
        <w:rPr>
          <w:rFonts w:ascii="Tahoma" w:hAnsi="Tahoma" w:cs="Tahoma"/>
          <w:sz w:val="22"/>
          <w:szCs w:val="22"/>
        </w:rPr>
      </w:pPr>
    </w:p>
    <w:p w:rsidR="00F709D0" w:rsidRPr="006E3E3F" w:rsidRDefault="00F709D0" w:rsidP="00F709D0">
      <w:pPr>
        <w:numPr>
          <w:ilvl w:val="0"/>
          <w:numId w:val="1"/>
        </w:numPr>
        <w:tabs>
          <w:tab w:val="num" w:pos="567"/>
        </w:tabs>
        <w:ind w:left="567" w:hanging="567"/>
        <w:jc w:val="both"/>
        <w:rPr>
          <w:rFonts w:ascii="Tahoma" w:hAnsi="Tahoma" w:cs="Tahoma"/>
          <w:sz w:val="22"/>
          <w:szCs w:val="22"/>
        </w:rPr>
      </w:pPr>
      <w:r w:rsidRPr="006E3E3F">
        <w:rPr>
          <w:rFonts w:ascii="Tahoma" w:hAnsi="Tahoma" w:cs="Tahoma"/>
          <w:sz w:val="22"/>
          <w:szCs w:val="22"/>
        </w:rPr>
        <w:t>Respecto a lo señalado anteriormente</w:t>
      </w:r>
      <w:r w:rsidRPr="006E3E3F">
        <w:rPr>
          <w:rFonts w:ascii="Tahoma" w:hAnsi="Tahoma" w:cs="Tahoma"/>
          <w:sz w:val="22"/>
          <w:szCs w:val="22"/>
          <w:lang w:val="es-PE"/>
        </w:rPr>
        <w:t xml:space="preserve">, se ha podido verificar que para la fabricación y comercialización de producto gorro descartable de enfermera convocado para el ítem Nº 52 de la </w:t>
      </w:r>
      <w:r w:rsidRPr="006E3E3F">
        <w:rPr>
          <w:rFonts w:ascii="Tahoma" w:hAnsi="Tahoma" w:cs="Tahoma"/>
          <w:sz w:val="22"/>
          <w:szCs w:val="22"/>
        </w:rPr>
        <w:t>de la Licitación Pública Nº 004-2010-INSN</w:t>
      </w:r>
      <w:r>
        <w:rPr>
          <w:rFonts w:ascii="Tahoma" w:hAnsi="Tahoma" w:cs="Tahoma"/>
          <w:sz w:val="22"/>
          <w:szCs w:val="22"/>
        </w:rPr>
        <w:t>,</w:t>
      </w:r>
      <w:r w:rsidRPr="006E3E3F">
        <w:rPr>
          <w:rFonts w:ascii="Tahoma" w:hAnsi="Tahoma" w:cs="Tahoma"/>
          <w:sz w:val="22"/>
          <w:szCs w:val="22"/>
          <w:lang w:val="es-PE"/>
        </w:rPr>
        <w:t xml:space="preserve"> la Dirección General de Medicamentos, Insumos y Drogas (DIGEMID) no exige la presentación del Protocolo de Análisis, toda vez que no están sujetos a otorgamiento de Registro Sanitario. En consecuencia, se colige que no resulta lógico ni razonable que la Entidad exija la presentación de un documento que no es requerido por la autoridad competente en materia sanitaria, puesto que dicha exigencia resulta contraria a las disposiciones que rigen los </w:t>
      </w:r>
      <w:r w:rsidRPr="006E3E3F">
        <w:rPr>
          <w:rFonts w:ascii="Tahoma" w:hAnsi="Tahoma" w:cs="Tahoma"/>
          <w:i/>
          <w:sz w:val="22"/>
          <w:szCs w:val="22"/>
          <w:lang w:val="es-PE"/>
        </w:rPr>
        <w:t>Principios de Eficiencia y Economía</w:t>
      </w:r>
      <w:r w:rsidRPr="006E3E3F">
        <w:rPr>
          <w:rFonts w:ascii="Tahoma" w:hAnsi="Tahoma" w:cs="Tahoma"/>
          <w:sz w:val="22"/>
          <w:szCs w:val="22"/>
          <w:lang w:val="es-PE"/>
        </w:rPr>
        <w:t>.</w:t>
      </w:r>
    </w:p>
    <w:p w:rsidR="00F709D0" w:rsidRPr="006E3E3F" w:rsidRDefault="00F709D0" w:rsidP="00F709D0">
      <w:pPr>
        <w:ind w:left="567"/>
        <w:jc w:val="both"/>
        <w:rPr>
          <w:rFonts w:ascii="Tahoma" w:hAnsi="Tahoma" w:cs="Tahoma"/>
          <w:sz w:val="22"/>
          <w:szCs w:val="22"/>
        </w:rPr>
      </w:pPr>
    </w:p>
    <w:p w:rsidR="00F709D0" w:rsidRPr="006E3E3F" w:rsidRDefault="00F709D0" w:rsidP="00F709D0">
      <w:pPr>
        <w:numPr>
          <w:ilvl w:val="0"/>
          <w:numId w:val="1"/>
        </w:numPr>
        <w:tabs>
          <w:tab w:val="num" w:pos="567"/>
        </w:tabs>
        <w:ind w:left="567" w:hanging="567"/>
        <w:jc w:val="both"/>
        <w:rPr>
          <w:rFonts w:ascii="Tahoma" w:hAnsi="Tahoma" w:cs="Tahoma"/>
          <w:sz w:val="22"/>
          <w:szCs w:val="22"/>
        </w:rPr>
      </w:pPr>
      <w:r w:rsidRPr="006E3E3F">
        <w:rPr>
          <w:rFonts w:ascii="Tahoma" w:hAnsi="Tahoma" w:cs="Tahoma"/>
          <w:sz w:val="22"/>
          <w:szCs w:val="22"/>
        </w:rPr>
        <w:t>En efecto, tal como este Tribunal ya se ha pronunciado en anteriores pronunciamientos</w:t>
      </w:r>
      <w:r w:rsidRPr="006E3E3F">
        <w:rPr>
          <w:rStyle w:val="Refdenotaalpie"/>
          <w:rFonts w:ascii="Tahoma" w:hAnsi="Tahoma" w:cs="Tahoma"/>
          <w:sz w:val="22"/>
          <w:szCs w:val="22"/>
        </w:rPr>
        <w:footnoteReference w:id="2"/>
      </w:r>
      <w:r w:rsidRPr="006E3E3F">
        <w:rPr>
          <w:rFonts w:ascii="Tahoma" w:hAnsi="Tahoma" w:cs="Tahoma"/>
          <w:sz w:val="22"/>
          <w:szCs w:val="22"/>
        </w:rPr>
        <w:t xml:space="preserve">, </w:t>
      </w:r>
      <w:r w:rsidRPr="006E3E3F">
        <w:rPr>
          <w:rFonts w:ascii="Tahoma" w:hAnsi="Tahoma" w:cs="Tahoma"/>
          <w:sz w:val="22"/>
          <w:szCs w:val="22"/>
          <w:lang w:val="es-PE"/>
        </w:rPr>
        <w:t xml:space="preserve">la presentación del Protocolo de Análisis, para el producto convocado para el ítem Nº 52 del acotado proceso de selección, no debe ser considerado como una exigencia de obligatorio cumplimiento, sino, por el contrario, como un documento que contiene información meramente referencial y, por ende, su omisión o inadecuada presentación no amerita la descalificación de la oferta presentada por la Adjudicataria. </w:t>
      </w:r>
      <w:r w:rsidRPr="006E3E3F">
        <w:rPr>
          <w:rFonts w:ascii="Tahoma" w:hAnsi="Tahoma" w:cs="Tahoma"/>
          <w:sz w:val="22"/>
          <w:szCs w:val="22"/>
        </w:rPr>
        <w:t>Por tanto, este Colegiado considera que la exigencia señalada en el literal h) del numeral 2.8.1 “Contenido de las Propuestas” del Capítulo II de las “Etapas del Proceso de Selección” de las Bases Integradas de la Licitación Pública Nº 004-2010-INSN, debe considerarse sólo para los productos médicos sujetos a Registro Sanitario y no así para aquellos que no lo requieren; por lo cual, no cabe amparar el cuestionamiento realizado por la Impugnante al Protocolo de Análisis presentado por el Adjudicatario a fojas 81 de su propuesta técnica.</w:t>
      </w:r>
    </w:p>
    <w:p w:rsidR="00F709D0" w:rsidRPr="006E3E3F" w:rsidRDefault="00F709D0" w:rsidP="00F709D0">
      <w:pPr>
        <w:pStyle w:val="Prrafodelista"/>
        <w:rPr>
          <w:rFonts w:ascii="Tahoma" w:hAnsi="Tahoma" w:cs="Tahoma"/>
          <w:sz w:val="22"/>
          <w:szCs w:val="22"/>
        </w:rPr>
      </w:pPr>
    </w:p>
    <w:p w:rsidR="00F709D0" w:rsidRPr="006E3E3F" w:rsidRDefault="00F709D0" w:rsidP="00F709D0">
      <w:pPr>
        <w:numPr>
          <w:ilvl w:val="0"/>
          <w:numId w:val="1"/>
        </w:numPr>
        <w:tabs>
          <w:tab w:val="num" w:pos="567"/>
        </w:tabs>
        <w:ind w:left="567" w:hanging="567"/>
        <w:jc w:val="both"/>
        <w:rPr>
          <w:rFonts w:ascii="Tahoma" w:hAnsi="Tahoma" w:cs="Tahoma"/>
          <w:sz w:val="22"/>
          <w:szCs w:val="22"/>
        </w:rPr>
      </w:pPr>
      <w:r w:rsidRPr="006E3E3F">
        <w:rPr>
          <w:rFonts w:ascii="Tahoma" w:hAnsi="Tahoma" w:cs="Tahoma"/>
          <w:sz w:val="22"/>
          <w:szCs w:val="22"/>
          <w:lang w:val="es-ES_tradnl"/>
        </w:rPr>
        <w:t xml:space="preserve">Por otra parte, la Impugnante también cuestionó la propuesta técnica del Adjudicatario, al señalar que no se </w:t>
      </w:r>
      <w:r w:rsidRPr="006E3E3F">
        <w:rPr>
          <w:rFonts w:ascii="Tahoma" w:hAnsi="Tahoma" w:cs="Tahoma"/>
          <w:sz w:val="22"/>
          <w:szCs w:val="22"/>
          <w:lang w:val="es-PE"/>
        </w:rPr>
        <w:t xml:space="preserve">ha cumplido con adjuntar la documentación técnica que acredite el cumplimiento del material requerido para el producto ofertado, es decir TELA NO TEJIDA SMS; asimismo, señaló que el Adjudicatario indujo en error al Comité Especial, tratando de justificar el cumplimiento de las especificaciones y/o características técnicas mínimas del producto ofertado, adjuntando certificados de calidad internacional que corresponden a otros productos; no obstante ello, no se adjunta documentación técnica alguna que </w:t>
      </w:r>
      <w:r w:rsidRPr="006E3E3F">
        <w:rPr>
          <w:rFonts w:ascii="Tahoma" w:hAnsi="Tahoma" w:cs="Tahoma"/>
          <w:sz w:val="22"/>
          <w:szCs w:val="22"/>
          <w:lang w:val="es-PE"/>
        </w:rPr>
        <w:lastRenderedPageBreak/>
        <w:t>demuestre el cumplimiento de las especificaciones mínimas requeridas para el ítem Nº 52.</w:t>
      </w:r>
    </w:p>
    <w:p w:rsidR="00F709D0" w:rsidRPr="006E3E3F" w:rsidRDefault="00F709D0" w:rsidP="00F709D0">
      <w:pPr>
        <w:pStyle w:val="Prrafodelista"/>
        <w:rPr>
          <w:rFonts w:ascii="Tahoma" w:hAnsi="Tahoma" w:cs="Tahoma"/>
          <w:sz w:val="22"/>
          <w:szCs w:val="22"/>
        </w:rPr>
      </w:pPr>
    </w:p>
    <w:p w:rsidR="00F709D0" w:rsidRPr="006E3E3F" w:rsidRDefault="00F709D0" w:rsidP="00F709D0">
      <w:pPr>
        <w:numPr>
          <w:ilvl w:val="0"/>
          <w:numId w:val="1"/>
        </w:numPr>
        <w:tabs>
          <w:tab w:val="num" w:pos="567"/>
        </w:tabs>
        <w:ind w:left="567" w:hanging="567"/>
        <w:jc w:val="both"/>
        <w:rPr>
          <w:rFonts w:ascii="Tahoma" w:hAnsi="Tahoma" w:cs="Tahoma"/>
          <w:sz w:val="22"/>
          <w:szCs w:val="22"/>
        </w:rPr>
      </w:pPr>
      <w:r w:rsidRPr="006E3E3F">
        <w:rPr>
          <w:rFonts w:ascii="Tahoma" w:hAnsi="Tahoma" w:cs="Tahoma"/>
          <w:sz w:val="22"/>
          <w:szCs w:val="22"/>
        </w:rPr>
        <w:t>Respecto a lo señalado anteriormente, cabe precisar que en el Capítulo IV REQUERIMIENTOS TÉCNICOS MÍNIMOS de las Bases Integradas de la Licitación Pública Nº 004-2010-INSN, se estableció lo siguiente:</w:t>
      </w:r>
    </w:p>
    <w:p w:rsidR="00F709D0" w:rsidRPr="006E3E3F" w:rsidRDefault="00F709D0" w:rsidP="00F709D0">
      <w:pPr>
        <w:ind w:left="567"/>
        <w:jc w:val="both"/>
        <w:rPr>
          <w:rFonts w:ascii="Tahoma" w:hAnsi="Tahoma" w:cs="Tahoma"/>
          <w:sz w:val="22"/>
          <w:szCs w:val="22"/>
        </w:rPr>
      </w:pPr>
    </w:p>
    <w:p w:rsidR="00F709D0" w:rsidRPr="00D36522" w:rsidRDefault="00F709D0" w:rsidP="00F709D0">
      <w:pPr>
        <w:ind w:left="567"/>
        <w:jc w:val="both"/>
        <w:rPr>
          <w:rFonts w:ascii="Tahoma" w:hAnsi="Tahoma" w:cs="Tahoma"/>
          <w:sz w:val="22"/>
          <w:szCs w:val="22"/>
        </w:rPr>
      </w:pPr>
    </w:p>
    <w:p w:rsidR="00F709D0" w:rsidRDefault="00F709D0" w:rsidP="00F709D0">
      <w:pPr>
        <w:ind w:left="567"/>
        <w:jc w:val="both"/>
        <w:rPr>
          <w:rFonts w:ascii="Tahoma" w:hAnsi="Tahoma" w:cs="Tahoma"/>
          <w:sz w:val="22"/>
          <w:szCs w:val="22"/>
        </w:rPr>
      </w:pPr>
    </w:p>
    <w:p w:rsidR="00F709D0" w:rsidRPr="00485EB3" w:rsidRDefault="00F709D0" w:rsidP="00F709D0">
      <w:pPr>
        <w:jc w:val="center"/>
        <w:rPr>
          <w:rFonts w:ascii="Tahoma" w:hAnsi="Tahoma" w:cs="Tahoma"/>
          <w:b/>
          <w:i/>
          <w:sz w:val="18"/>
          <w:szCs w:val="18"/>
          <w:u w:val="single"/>
          <w:lang w:val="pt-BR"/>
        </w:rPr>
      </w:pPr>
      <w:r w:rsidRPr="00485EB3">
        <w:rPr>
          <w:rFonts w:ascii="Tahoma" w:hAnsi="Tahoma" w:cs="Tahoma"/>
          <w:b/>
          <w:i/>
          <w:sz w:val="18"/>
          <w:szCs w:val="18"/>
          <w:u w:val="single"/>
          <w:lang w:val="pt-BR"/>
        </w:rPr>
        <w:t>ITEM Nº 52: GORRO DESCARTABLE DE ENFERMERA</w:t>
      </w:r>
    </w:p>
    <w:p w:rsidR="00F709D0" w:rsidRPr="00485EB3" w:rsidRDefault="00F709D0" w:rsidP="00F709D0">
      <w:pPr>
        <w:rPr>
          <w:rFonts w:ascii="Tahoma" w:hAnsi="Tahoma" w:cs="Tahoma"/>
          <w:b/>
          <w:i/>
          <w:sz w:val="18"/>
          <w:szCs w:val="18"/>
        </w:rPr>
      </w:pPr>
    </w:p>
    <w:tbl>
      <w:tblPr>
        <w:tblpPr w:leftFromText="141" w:rightFromText="141" w:vertAnchor="text" w:horzAnchor="margin" w:tblpXSpec="center" w:tblpY="192"/>
        <w:tblW w:w="7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54"/>
      </w:tblGrid>
      <w:tr w:rsidR="00F709D0" w:rsidRPr="00485EB3" w:rsidTr="0047031E">
        <w:trPr>
          <w:cantSplit/>
          <w:trHeight w:val="228"/>
        </w:trPr>
        <w:tc>
          <w:tcPr>
            <w:tcW w:w="7054" w:type="dxa"/>
          </w:tcPr>
          <w:p w:rsidR="00F709D0" w:rsidRPr="00485EB3" w:rsidRDefault="00F709D0" w:rsidP="0047031E">
            <w:pPr>
              <w:rPr>
                <w:rFonts w:ascii="Tahoma" w:hAnsi="Tahoma" w:cs="Tahoma"/>
                <w:b/>
                <w:i/>
                <w:sz w:val="18"/>
                <w:szCs w:val="18"/>
              </w:rPr>
            </w:pPr>
            <w:r w:rsidRPr="00485EB3">
              <w:rPr>
                <w:rFonts w:ascii="Tahoma" w:hAnsi="Tahoma" w:cs="Tahoma"/>
                <w:b/>
                <w:i/>
                <w:sz w:val="18"/>
                <w:szCs w:val="18"/>
              </w:rPr>
              <w:t>A:</w:t>
            </w:r>
            <w:r w:rsidRPr="00485EB3">
              <w:rPr>
                <w:rFonts w:ascii="Tahoma" w:hAnsi="Tahoma" w:cs="Tahoma"/>
                <w:bCs/>
                <w:i/>
                <w:sz w:val="18"/>
                <w:szCs w:val="18"/>
              </w:rPr>
              <w:t xml:space="preserve"> </w:t>
            </w:r>
            <w:r w:rsidRPr="00485EB3">
              <w:rPr>
                <w:rFonts w:ascii="Tahoma" w:hAnsi="Tahoma" w:cs="Tahoma"/>
                <w:b/>
                <w:i/>
                <w:sz w:val="18"/>
                <w:szCs w:val="18"/>
              </w:rPr>
              <w:t xml:space="preserve">Presentación                                                                     </w:t>
            </w:r>
            <w:r w:rsidRPr="00485EB3">
              <w:rPr>
                <w:rFonts w:ascii="Tahoma" w:hAnsi="Tahoma" w:cs="Tahoma"/>
                <w:bCs/>
                <w:i/>
                <w:sz w:val="18"/>
                <w:szCs w:val="18"/>
              </w:rPr>
              <w:t xml:space="preserve">                </w:t>
            </w:r>
          </w:p>
        </w:tc>
      </w:tr>
      <w:tr w:rsidR="00F709D0" w:rsidRPr="00485EB3" w:rsidTr="0047031E">
        <w:trPr>
          <w:trHeight w:val="249"/>
        </w:trPr>
        <w:tc>
          <w:tcPr>
            <w:tcW w:w="7054" w:type="dxa"/>
          </w:tcPr>
          <w:p w:rsidR="00F709D0" w:rsidRPr="00485EB3" w:rsidRDefault="00F709D0" w:rsidP="0047031E">
            <w:pPr>
              <w:rPr>
                <w:rFonts w:ascii="Tahoma" w:hAnsi="Tahoma" w:cs="Tahoma"/>
                <w:i/>
                <w:sz w:val="18"/>
                <w:szCs w:val="18"/>
              </w:rPr>
            </w:pPr>
            <w:r w:rsidRPr="00485EB3">
              <w:rPr>
                <w:rFonts w:ascii="Tahoma" w:hAnsi="Tahoma" w:cs="Tahoma"/>
                <w:i/>
                <w:sz w:val="18"/>
                <w:szCs w:val="18"/>
              </w:rPr>
              <w:t>1.- Empaque en bolsa de polietileno de baja densidad</w:t>
            </w:r>
          </w:p>
        </w:tc>
      </w:tr>
      <w:tr w:rsidR="00F709D0" w:rsidRPr="00485EB3" w:rsidTr="0047031E">
        <w:trPr>
          <w:trHeight w:val="209"/>
        </w:trPr>
        <w:tc>
          <w:tcPr>
            <w:tcW w:w="7054" w:type="dxa"/>
          </w:tcPr>
          <w:p w:rsidR="00F709D0" w:rsidRPr="00485EB3" w:rsidRDefault="00F709D0" w:rsidP="0047031E">
            <w:pPr>
              <w:rPr>
                <w:rFonts w:ascii="Tahoma" w:hAnsi="Tahoma" w:cs="Tahoma"/>
                <w:i/>
                <w:sz w:val="18"/>
                <w:szCs w:val="18"/>
              </w:rPr>
            </w:pPr>
            <w:r w:rsidRPr="00485EB3">
              <w:rPr>
                <w:rFonts w:ascii="Tahoma" w:hAnsi="Tahoma" w:cs="Tahoma"/>
                <w:i/>
                <w:sz w:val="18"/>
                <w:szCs w:val="18"/>
              </w:rPr>
              <w:t>2.- Empaque mediato caja de cartón que asegure la integridad y conservación del producto</w:t>
            </w:r>
          </w:p>
        </w:tc>
      </w:tr>
      <w:tr w:rsidR="00F709D0" w:rsidRPr="00485EB3" w:rsidTr="0047031E">
        <w:trPr>
          <w:trHeight w:val="249"/>
        </w:trPr>
        <w:tc>
          <w:tcPr>
            <w:tcW w:w="7054" w:type="dxa"/>
          </w:tcPr>
          <w:p w:rsidR="00F709D0" w:rsidRPr="00485EB3" w:rsidRDefault="00F709D0" w:rsidP="0047031E">
            <w:pPr>
              <w:rPr>
                <w:rFonts w:ascii="Tahoma" w:hAnsi="Tahoma" w:cs="Tahoma"/>
                <w:i/>
                <w:sz w:val="18"/>
                <w:szCs w:val="18"/>
              </w:rPr>
            </w:pPr>
            <w:r w:rsidRPr="00485EB3">
              <w:rPr>
                <w:rFonts w:ascii="Tahoma" w:hAnsi="Tahoma" w:cs="Tahoma"/>
                <w:i/>
                <w:sz w:val="18"/>
                <w:szCs w:val="18"/>
              </w:rPr>
              <w:t>3.- Rotulo de la caja debe indicar el nombre del fabricante, cantidad contenida.</w:t>
            </w:r>
          </w:p>
        </w:tc>
      </w:tr>
      <w:tr w:rsidR="00F709D0" w:rsidRPr="00485EB3" w:rsidTr="0047031E">
        <w:trPr>
          <w:trHeight w:val="228"/>
        </w:trPr>
        <w:tc>
          <w:tcPr>
            <w:tcW w:w="7054" w:type="dxa"/>
            <w:vAlign w:val="center"/>
          </w:tcPr>
          <w:p w:rsidR="00F709D0" w:rsidRPr="00485EB3" w:rsidRDefault="00F709D0" w:rsidP="0047031E">
            <w:pPr>
              <w:rPr>
                <w:rFonts w:ascii="Tahoma" w:hAnsi="Tahoma" w:cs="Tahoma"/>
                <w:b/>
                <w:i/>
                <w:sz w:val="18"/>
                <w:szCs w:val="18"/>
              </w:rPr>
            </w:pPr>
            <w:r w:rsidRPr="00485EB3">
              <w:rPr>
                <w:rFonts w:ascii="Tahoma" w:hAnsi="Tahoma" w:cs="Tahoma"/>
                <w:b/>
                <w:i/>
                <w:sz w:val="18"/>
                <w:szCs w:val="18"/>
              </w:rPr>
              <w:t xml:space="preserve">B: Características                                                                                    </w:t>
            </w:r>
          </w:p>
        </w:tc>
      </w:tr>
      <w:tr w:rsidR="00F709D0" w:rsidRPr="00485EB3" w:rsidTr="0047031E">
        <w:trPr>
          <w:trHeight w:val="309"/>
        </w:trPr>
        <w:tc>
          <w:tcPr>
            <w:tcW w:w="7054" w:type="dxa"/>
          </w:tcPr>
          <w:p w:rsidR="00F709D0" w:rsidRPr="00485EB3" w:rsidRDefault="00F709D0" w:rsidP="0047031E">
            <w:pPr>
              <w:tabs>
                <w:tab w:val="left" w:pos="6015"/>
              </w:tabs>
              <w:ind w:left="360" w:hanging="360"/>
              <w:jc w:val="both"/>
              <w:rPr>
                <w:rFonts w:ascii="Tahoma" w:hAnsi="Tahoma" w:cs="Tahoma"/>
                <w:i/>
                <w:sz w:val="18"/>
                <w:szCs w:val="18"/>
              </w:rPr>
            </w:pPr>
            <w:r w:rsidRPr="00485EB3">
              <w:rPr>
                <w:rFonts w:ascii="Tahoma" w:hAnsi="Tahoma" w:cs="Tahoma"/>
                <w:i/>
                <w:sz w:val="18"/>
                <w:szCs w:val="18"/>
              </w:rPr>
              <w:t>1.- Confeccionado en material de tela no tejida SMS</w:t>
            </w:r>
          </w:p>
        </w:tc>
      </w:tr>
      <w:tr w:rsidR="00F709D0" w:rsidRPr="00485EB3" w:rsidTr="0047031E">
        <w:trPr>
          <w:trHeight w:val="309"/>
        </w:trPr>
        <w:tc>
          <w:tcPr>
            <w:tcW w:w="7054" w:type="dxa"/>
          </w:tcPr>
          <w:p w:rsidR="00F709D0" w:rsidRPr="00485EB3" w:rsidRDefault="00F709D0" w:rsidP="0047031E">
            <w:pPr>
              <w:rPr>
                <w:rFonts w:ascii="Tahoma" w:hAnsi="Tahoma" w:cs="Tahoma"/>
                <w:i/>
                <w:sz w:val="18"/>
                <w:szCs w:val="18"/>
              </w:rPr>
            </w:pPr>
            <w:r w:rsidRPr="00485EB3">
              <w:rPr>
                <w:rFonts w:ascii="Tahoma" w:hAnsi="Tahoma" w:cs="Tahoma"/>
                <w:i/>
                <w:sz w:val="18"/>
                <w:szCs w:val="18"/>
              </w:rPr>
              <w:t>2.- Resistente, porosidad controlada</w:t>
            </w:r>
          </w:p>
        </w:tc>
      </w:tr>
      <w:tr w:rsidR="00F709D0" w:rsidRPr="00485EB3" w:rsidTr="0047031E">
        <w:trPr>
          <w:trHeight w:val="249"/>
        </w:trPr>
        <w:tc>
          <w:tcPr>
            <w:tcW w:w="7054" w:type="dxa"/>
          </w:tcPr>
          <w:p w:rsidR="00F709D0" w:rsidRPr="00485EB3" w:rsidRDefault="00F709D0" w:rsidP="0047031E">
            <w:pPr>
              <w:rPr>
                <w:rFonts w:ascii="Tahoma" w:hAnsi="Tahoma" w:cs="Tahoma"/>
                <w:i/>
                <w:sz w:val="18"/>
                <w:szCs w:val="18"/>
              </w:rPr>
            </w:pPr>
            <w:r w:rsidRPr="00485EB3">
              <w:rPr>
                <w:rFonts w:ascii="Tahoma" w:hAnsi="Tahoma" w:cs="Tahoma"/>
                <w:i/>
                <w:sz w:val="18"/>
                <w:szCs w:val="18"/>
              </w:rPr>
              <w:t>3.- Gorro de adaptarse  y comodidad  al usuario</w:t>
            </w:r>
          </w:p>
        </w:tc>
      </w:tr>
      <w:tr w:rsidR="00F709D0" w:rsidRPr="00485EB3" w:rsidTr="0047031E">
        <w:trPr>
          <w:trHeight w:val="261"/>
        </w:trPr>
        <w:tc>
          <w:tcPr>
            <w:tcW w:w="7054" w:type="dxa"/>
          </w:tcPr>
          <w:p w:rsidR="00F709D0" w:rsidRPr="00485EB3" w:rsidRDefault="00F709D0" w:rsidP="0047031E">
            <w:pPr>
              <w:rPr>
                <w:rFonts w:ascii="Tahoma" w:hAnsi="Tahoma" w:cs="Tahoma"/>
                <w:i/>
                <w:sz w:val="18"/>
                <w:szCs w:val="18"/>
              </w:rPr>
            </w:pPr>
            <w:r w:rsidRPr="00485EB3">
              <w:rPr>
                <w:rFonts w:ascii="Tahoma" w:hAnsi="Tahoma" w:cs="Tahoma"/>
                <w:i/>
                <w:sz w:val="18"/>
                <w:szCs w:val="18"/>
              </w:rPr>
              <w:t>4.- elástico suave que asegure la estabilidad del gorro</w:t>
            </w:r>
          </w:p>
        </w:tc>
      </w:tr>
    </w:tbl>
    <w:p w:rsidR="00F709D0" w:rsidRDefault="00F709D0" w:rsidP="00F709D0">
      <w:pPr>
        <w:ind w:left="567"/>
        <w:jc w:val="both"/>
        <w:rPr>
          <w:rFonts w:ascii="Tahoma" w:hAnsi="Tahoma" w:cs="Tahoma"/>
          <w:sz w:val="22"/>
          <w:szCs w:val="22"/>
        </w:rPr>
      </w:pPr>
    </w:p>
    <w:p w:rsidR="00F709D0" w:rsidRDefault="00F709D0" w:rsidP="00F709D0">
      <w:pPr>
        <w:ind w:left="567"/>
        <w:jc w:val="both"/>
        <w:rPr>
          <w:rFonts w:ascii="Tahoma" w:hAnsi="Tahoma" w:cs="Tahoma"/>
          <w:sz w:val="22"/>
          <w:szCs w:val="22"/>
        </w:rPr>
      </w:pPr>
    </w:p>
    <w:p w:rsidR="00F709D0" w:rsidRDefault="00F709D0" w:rsidP="00F709D0">
      <w:pPr>
        <w:ind w:left="567"/>
        <w:jc w:val="both"/>
        <w:rPr>
          <w:rFonts w:ascii="Tahoma" w:hAnsi="Tahoma" w:cs="Tahoma"/>
          <w:sz w:val="22"/>
          <w:szCs w:val="22"/>
        </w:rPr>
      </w:pPr>
    </w:p>
    <w:p w:rsidR="00F709D0" w:rsidRDefault="00F709D0" w:rsidP="00F709D0">
      <w:pPr>
        <w:ind w:left="567"/>
        <w:jc w:val="both"/>
        <w:rPr>
          <w:rFonts w:ascii="Tahoma" w:hAnsi="Tahoma" w:cs="Tahoma"/>
          <w:sz w:val="22"/>
          <w:szCs w:val="22"/>
        </w:rPr>
      </w:pPr>
    </w:p>
    <w:p w:rsidR="00F709D0" w:rsidRDefault="00F709D0" w:rsidP="00F709D0">
      <w:pPr>
        <w:ind w:left="567"/>
        <w:jc w:val="both"/>
        <w:rPr>
          <w:rFonts w:ascii="Tahoma" w:hAnsi="Tahoma" w:cs="Tahoma"/>
          <w:sz w:val="22"/>
          <w:szCs w:val="22"/>
        </w:rPr>
      </w:pPr>
    </w:p>
    <w:p w:rsidR="00F709D0" w:rsidRDefault="00F709D0" w:rsidP="00F709D0">
      <w:pPr>
        <w:ind w:left="567"/>
        <w:jc w:val="both"/>
        <w:rPr>
          <w:rFonts w:ascii="Tahoma" w:hAnsi="Tahoma" w:cs="Tahoma"/>
          <w:sz w:val="22"/>
          <w:szCs w:val="22"/>
        </w:rPr>
      </w:pPr>
    </w:p>
    <w:p w:rsidR="00F709D0" w:rsidRDefault="00F709D0" w:rsidP="00F709D0">
      <w:pPr>
        <w:ind w:left="567"/>
        <w:jc w:val="both"/>
        <w:rPr>
          <w:rFonts w:ascii="Tahoma" w:hAnsi="Tahoma" w:cs="Tahoma"/>
          <w:sz w:val="22"/>
          <w:szCs w:val="22"/>
        </w:rPr>
      </w:pPr>
    </w:p>
    <w:p w:rsidR="00F709D0" w:rsidRDefault="00F709D0" w:rsidP="00F709D0">
      <w:pPr>
        <w:ind w:left="567"/>
        <w:jc w:val="both"/>
        <w:rPr>
          <w:rFonts w:ascii="Tahoma" w:hAnsi="Tahoma" w:cs="Tahoma"/>
          <w:sz w:val="22"/>
          <w:szCs w:val="22"/>
        </w:rPr>
      </w:pPr>
    </w:p>
    <w:p w:rsidR="00F709D0" w:rsidRDefault="00F709D0" w:rsidP="00F709D0">
      <w:pPr>
        <w:ind w:left="567"/>
        <w:jc w:val="both"/>
        <w:rPr>
          <w:rFonts w:ascii="Tahoma" w:hAnsi="Tahoma" w:cs="Tahoma"/>
          <w:sz w:val="22"/>
          <w:szCs w:val="22"/>
        </w:rPr>
      </w:pPr>
    </w:p>
    <w:p w:rsidR="00F709D0" w:rsidRDefault="00F709D0" w:rsidP="00F709D0">
      <w:pPr>
        <w:ind w:left="1701" w:hanging="567"/>
        <w:contextualSpacing/>
        <w:jc w:val="both"/>
        <w:rPr>
          <w:rFonts w:ascii="Tahoma" w:hAnsi="Tahoma" w:cs="Tahoma"/>
          <w:sz w:val="22"/>
          <w:szCs w:val="22"/>
          <w:lang w:val="es-PE"/>
        </w:rPr>
      </w:pPr>
    </w:p>
    <w:p w:rsidR="00F709D0" w:rsidRDefault="00F709D0" w:rsidP="00F709D0">
      <w:pPr>
        <w:pStyle w:val="Prrafodelista"/>
        <w:widowControl w:val="0"/>
        <w:numPr>
          <w:ilvl w:val="0"/>
          <w:numId w:val="16"/>
        </w:numPr>
        <w:suppressAutoHyphens/>
        <w:ind w:left="1701" w:hanging="567"/>
        <w:contextualSpacing/>
        <w:jc w:val="both"/>
        <w:rPr>
          <w:rFonts w:ascii="Tahoma" w:hAnsi="Tahoma" w:cs="Tahoma"/>
          <w:sz w:val="22"/>
          <w:szCs w:val="22"/>
          <w:lang w:val="es-PE"/>
        </w:rPr>
      </w:pPr>
    </w:p>
    <w:p w:rsidR="00F709D0" w:rsidRDefault="00F709D0" w:rsidP="00F709D0">
      <w:pPr>
        <w:pStyle w:val="Prrafodelista"/>
        <w:ind w:left="1701"/>
        <w:contextualSpacing/>
        <w:jc w:val="both"/>
        <w:rPr>
          <w:rFonts w:ascii="Tahoma" w:hAnsi="Tahoma" w:cs="Tahoma"/>
          <w:sz w:val="22"/>
          <w:szCs w:val="22"/>
          <w:lang w:val="es-PE"/>
        </w:rPr>
      </w:pPr>
    </w:p>
    <w:p w:rsidR="00F709D0" w:rsidRDefault="00F709D0" w:rsidP="00F709D0">
      <w:pPr>
        <w:numPr>
          <w:ilvl w:val="0"/>
          <w:numId w:val="1"/>
        </w:numPr>
        <w:tabs>
          <w:tab w:val="num" w:pos="567"/>
        </w:tabs>
        <w:ind w:left="567" w:hanging="567"/>
        <w:jc w:val="both"/>
        <w:rPr>
          <w:rFonts w:ascii="Tahoma" w:hAnsi="Tahoma" w:cs="Tahoma"/>
          <w:sz w:val="22"/>
          <w:szCs w:val="22"/>
        </w:rPr>
      </w:pPr>
      <w:r w:rsidRPr="00684D2F">
        <w:rPr>
          <w:rFonts w:ascii="Tahoma" w:hAnsi="Tahoma" w:cs="Tahoma"/>
          <w:sz w:val="22"/>
          <w:szCs w:val="22"/>
        </w:rPr>
        <w:t xml:space="preserve">Ahora bien, cabe precisar que de la revisión de las Bases Integradas, se ha podido verificar que no se exige la presentación de </w:t>
      </w:r>
      <w:r w:rsidRPr="00684D2F">
        <w:rPr>
          <w:rFonts w:ascii="Tahoma" w:hAnsi="Tahoma" w:cs="Tahoma"/>
          <w:sz w:val="22"/>
          <w:szCs w:val="22"/>
          <w:lang w:val="es-PE"/>
        </w:rPr>
        <w:t xml:space="preserve">documentación técnica </w:t>
      </w:r>
      <w:r>
        <w:rPr>
          <w:rFonts w:ascii="Tahoma" w:hAnsi="Tahoma" w:cs="Tahoma"/>
          <w:sz w:val="22"/>
          <w:szCs w:val="22"/>
          <w:lang w:val="es-PE"/>
        </w:rPr>
        <w:t xml:space="preserve">o complementaria </w:t>
      </w:r>
      <w:r w:rsidRPr="00684D2F">
        <w:rPr>
          <w:rFonts w:ascii="Tahoma" w:hAnsi="Tahoma" w:cs="Tahoma"/>
          <w:sz w:val="22"/>
          <w:szCs w:val="22"/>
          <w:lang w:val="es-PE"/>
        </w:rPr>
        <w:t xml:space="preserve">que demuestre el cumplimiento de las especificaciones mínimas requeridas para el ítem Nº 52, no obstante ello, si se solicita como </w:t>
      </w:r>
      <w:r w:rsidRPr="00684D2F">
        <w:rPr>
          <w:rFonts w:ascii="Tahoma" w:hAnsi="Tahoma" w:cs="Tahoma"/>
          <w:sz w:val="22"/>
          <w:szCs w:val="22"/>
          <w:lang w:val="es-ES_tradnl"/>
        </w:rPr>
        <w:t xml:space="preserve">documentación de presentación obligatoria la Declaración Jurada en la que el postor declare que su oferta cumple los Requerimientos Técnicos Mínimos contenidos en el Capítulo IV de las Bases - </w:t>
      </w:r>
      <w:r w:rsidRPr="00684D2F">
        <w:rPr>
          <w:rFonts w:ascii="Tahoma" w:hAnsi="Tahoma" w:cs="Tahoma"/>
          <w:sz w:val="22"/>
          <w:szCs w:val="22"/>
        </w:rPr>
        <w:t xml:space="preserve">según  </w:t>
      </w:r>
      <w:r w:rsidRPr="00684D2F">
        <w:rPr>
          <w:rFonts w:ascii="Tahoma" w:hAnsi="Tahoma" w:cs="Tahoma"/>
          <w:sz w:val="22"/>
          <w:szCs w:val="22"/>
          <w:lang w:val="es-ES_tradnl"/>
        </w:rPr>
        <w:t>Anexo Nº 02</w:t>
      </w:r>
      <w:r>
        <w:rPr>
          <w:rFonts w:ascii="Tahoma" w:hAnsi="Tahoma" w:cs="Tahoma"/>
          <w:sz w:val="22"/>
          <w:szCs w:val="22"/>
        </w:rPr>
        <w:t>.</w:t>
      </w:r>
    </w:p>
    <w:p w:rsidR="00F709D0" w:rsidRDefault="00F709D0" w:rsidP="00F709D0">
      <w:pPr>
        <w:ind w:left="567"/>
        <w:jc w:val="both"/>
        <w:rPr>
          <w:rFonts w:ascii="Tahoma" w:hAnsi="Tahoma" w:cs="Tahoma"/>
          <w:sz w:val="22"/>
          <w:szCs w:val="22"/>
        </w:rPr>
      </w:pPr>
    </w:p>
    <w:p w:rsidR="00F709D0" w:rsidRDefault="00F709D0" w:rsidP="00F709D0">
      <w:pPr>
        <w:numPr>
          <w:ilvl w:val="0"/>
          <w:numId w:val="1"/>
        </w:numPr>
        <w:tabs>
          <w:tab w:val="num" w:pos="567"/>
        </w:tabs>
        <w:ind w:left="567" w:hanging="567"/>
        <w:jc w:val="both"/>
        <w:rPr>
          <w:rFonts w:ascii="Tahoma" w:hAnsi="Tahoma" w:cs="Tahoma"/>
          <w:sz w:val="22"/>
          <w:szCs w:val="22"/>
        </w:rPr>
      </w:pPr>
      <w:r>
        <w:rPr>
          <w:rFonts w:ascii="Tahoma" w:hAnsi="Tahoma" w:cs="Tahoma"/>
          <w:sz w:val="22"/>
          <w:szCs w:val="22"/>
        </w:rPr>
        <w:t>De lo señalado anteriormente, obra a fojas 340 de la propuesta técnica del Adjudicatario, el Anexo Nº 02 “DECLARACIÓN JURADA DE CUMPLIMIENTO DE LOS REQUERIMIENTOS TÉCNICOS MÍNIMOS DEL BIEN CONVOCADO” en el cual expresamente señaló lo siguiente:</w:t>
      </w:r>
    </w:p>
    <w:p w:rsidR="00F709D0" w:rsidRPr="00273295" w:rsidRDefault="00F709D0" w:rsidP="00F709D0">
      <w:pPr>
        <w:rPr>
          <w:rFonts w:ascii="Tahoma" w:hAnsi="Tahoma" w:cs="Tahoma"/>
          <w:sz w:val="22"/>
          <w:szCs w:val="22"/>
        </w:rPr>
      </w:pPr>
    </w:p>
    <w:p w:rsidR="00F709D0" w:rsidRPr="003E4F12" w:rsidRDefault="00F709D0" w:rsidP="00F709D0">
      <w:pPr>
        <w:ind w:left="1134" w:right="566"/>
        <w:jc w:val="both"/>
        <w:rPr>
          <w:rFonts w:ascii="Tahoma" w:hAnsi="Tahoma" w:cs="Tahoma"/>
          <w:i/>
        </w:rPr>
      </w:pPr>
      <w:r w:rsidRPr="003E4F12">
        <w:rPr>
          <w:rFonts w:ascii="Tahoma" w:hAnsi="Tahoma" w:cs="Tahoma"/>
          <w:i/>
        </w:rPr>
        <w:t>“El que suscribe WENDY TORRES HUALLPA, identificado con DNI Nº 09900650, RUC Nº 20504067093 en calidad de postor, luego de haber examinado los documentos del proceso de la referencia proporcionados por la Entidad Instituto Nacional de Salud del Niño, y conocer todas la condiciones existentes, el suscrito ofrece entregar ITEM Nº 52 – “Gorro Descartable de Enfermera”, de conformidad con dichos documentos y de acuerdo con los Requerimientos Técnicos Mínimos y demás condiciones que se indican en el Capítulo III de la sección específica de las Bases”.</w:t>
      </w:r>
    </w:p>
    <w:p w:rsidR="00F709D0" w:rsidRPr="003E4F12" w:rsidRDefault="00F709D0" w:rsidP="00F709D0">
      <w:pPr>
        <w:ind w:left="1134" w:right="566"/>
        <w:jc w:val="both"/>
        <w:rPr>
          <w:rFonts w:ascii="Tahoma" w:hAnsi="Tahoma" w:cs="Tahoma"/>
          <w:i/>
        </w:rPr>
      </w:pPr>
    </w:p>
    <w:p w:rsidR="00F709D0" w:rsidRPr="003E4F12" w:rsidRDefault="00F709D0" w:rsidP="00F709D0">
      <w:pPr>
        <w:ind w:left="1134" w:right="566"/>
        <w:jc w:val="both"/>
        <w:rPr>
          <w:rFonts w:ascii="Tahoma" w:hAnsi="Tahoma" w:cs="Tahoma"/>
          <w:i/>
        </w:rPr>
      </w:pPr>
      <w:r w:rsidRPr="003E4F12">
        <w:rPr>
          <w:rFonts w:ascii="Tahoma" w:hAnsi="Tahoma" w:cs="Tahoma"/>
          <w:i/>
        </w:rPr>
        <w:lastRenderedPageBreak/>
        <w:t>En ese sentido, me comprometo a entregar el bien con las características, en la forma y plazo especificado en las Bases”</w:t>
      </w:r>
    </w:p>
    <w:p w:rsidR="00F709D0" w:rsidRDefault="00F709D0" w:rsidP="00F709D0">
      <w:pPr>
        <w:pStyle w:val="Prrafodelista"/>
        <w:rPr>
          <w:rFonts w:ascii="Tahoma" w:hAnsi="Tahoma" w:cs="Tahoma"/>
          <w:sz w:val="22"/>
          <w:szCs w:val="22"/>
        </w:rPr>
      </w:pPr>
    </w:p>
    <w:p w:rsidR="00F709D0" w:rsidRDefault="00F709D0" w:rsidP="00F709D0">
      <w:pPr>
        <w:numPr>
          <w:ilvl w:val="0"/>
          <w:numId w:val="1"/>
        </w:numPr>
        <w:tabs>
          <w:tab w:val="num" w:pos="567"/>
        </w:tabs>
        <w:ind w:left="567" w:hanging="567"/>
        <w:jc w:val="both"/>
        <w:rPr>
          <w:rFonts w:ascii="Tahoma" w:hAnsi="Tahoma" w:cs="Tahoma"/>
          <w:sz w:val="22"/>
          <w:szCs w:val="22"/>
        </w:rPr>
      </w:pPr>
      <w:r>
        <w:rPr>
          <w:rFonts w:ascii="Tahoma" w:hAnsi="Tahoma" w:cs="Tahoma"/>
          <w:sz w:val="22"/>
          <w:szCs w:val="22"/>
        </w:rPr>
        <w:t>Asimismo, a fojas 349 de la propuesta técnica de la Adjudicataria obra las especificaciones técnicas del bien ofertado, en el cual se describen las siguientes:</w:t>
      </w:r>
    </w:p>
    <w:p w:rsidR="00F709D0" w:rsidRDefault="00F709D0" w:rsidP="00F709D0">
      <w:pPr>
        <w:ind w:left="567"/>
        <w:jc w:val="both"/>
        <w:rPr>
          <w:rFonts w:ascii="Tahoma" w:hAnsi="Tahoma" w:cs="Tahoma"/>
          <w:sz w:val="22"/>
          <w:szCs w:val="22"/>
        </w:rPr>
      </w:pPr>
    </w:p>
    <w:p w:rsidR="00F709D0" w:rsidRPr="007862D0" w:rsidRDefault="00F709D0" w:rsidP="00F709D0">
      <w:pPr>
        <w:ind w:left="1276"/>
        <w:jc w:val="both"/>
        <w:rPr>
          <w:rFonts w:ascii="Tahoma" w:hAnsi="Tahoma" w:cs="Tahoma"/>
          <w:b/>
          <w:i/>
          <w:sz w:val="18"/>
          <w:szCs w:val="18"/>
        </w:rPr>
      </w:pPr>
      <w:r w:rsidRPr="007862D0">
        <w:rPr>
          <w:rFonts w:ascii="Tahoma" w:hAnsi="Tahoma" w:cs="Tahoma"/>
          <w:i/>
          <w:sz w:val="18"/>
          <w:szCs w:val="18"/>
        </w:rPr>
        <w:t xml:space="preserve">“DEMINACION DEL ITEM: </w:t>
      </w:r>
      <w:r w:rsidRPr="007862D0">
        <w:rPr>
          <w:rFonts w:ascii="Tahoma" w:hAnsi="Tahoma" w:cs="Tahoma"/>
          <w:b/>
          <w:i/>
          <w:sz w:val="18"/>
          <w:szCs w:val="18"/>
        </w:rPr>
        <w:t>GORRO DESCATABLE PARA DAMA</w:t>
      </w:r>
    </w:p>
    <w:p w:rsidR="00F709D0" w:rsidRPr="007862D0" w:rsidRDefault="00F709D0" w:rsidP="00F709D0">
      <w:pPr>
        <w:ind w:left="1843"/>
        <w:jc w:val="both"/>
        <w:rPr>
          <w:rFonts w:ascii="Tahoma" w:hAnsi="Tahoma" w:cs="Tahoma"/>
          <w:i/>
          <w:sz w:val="18"/>
          <w:szCs w:val="18"/>
        </w:rPr>
      </w:pPr>
      <w:r w:rsidRPr="007862D0">
        <w:rPr>
          <w:rFonts w:ascii="Tahoma" w:hAnsi="Tahoma" w:cs="Tahoma"/>
          <w:i/>
          <w:sz w:val="18"/>
          <w:szCs w:val="18"/>
        </w:rPr>
        <w:t>1.- Nombre Genérico y Concentración del Insumo o Instrumental;</w:t>
      </w:r>
    </w:p>
    <w:p w:rsidR="00F709D0" w:rsidRPr="007862D0" w:rsidRDefault="00F709D0" w:rsidP="00F709D0">
      <w:pPr>
        <w:ind w:left="1843"/>
        <w:jc w:val="both"/>
        <w:rPr>
          <w:rFonts w:ascii="Tahoma" w:hAnsi="Tahoma" w:cs="Tahoma"/>
          <w:i/>
          <w:sz w:val="18"/>
          <w:szCs w:val="18"/>
        </w:rPr>
      </w:pPr>
      <w:r w:rsidRPr="007862D0">
        <w:rPr>
          <w:rFonts w:ascii="Tahoma" w:hAnsi="Tahoma" w:cs="Tahoma"/>
          <w:i/>
          <w:sz w:val="18"/>
          <w:szCs w:val="18"/>
        </w:rPr>
        <w:t>2.- Presentación: Caja x 100 unidades.</w:t>
      </w:r>
    </w:p>
    <w:p w:rsidR="00F709D0" w:rsidRPr="007862D0" w:rsidRDefault="00F709D0" w:rsidP="00F709D0">
      <w:pPr>
        <w:ind w:left="1843"/>
        <w:jc w:val="both"/>
        <w:rPr>
          <w:rFonts w:ascii="Tahoma" w:hAnsi="Tahoma" w:cs="Tahoma"/>
          <w:i/>
          <w:sz w:val="18"/>
          <w:szCs w:val="18"/>
        </w:rPr>
      </w:pPr>
      <w:r w:rsidRPr="007862D0">
        <w:rPr>
          <w:rFonts w:ascii="Tahoma" w:hAnsi="Tahoma" w:cs="Tahoma"/>
          <w:i/>
          <w:sz w:val="18"/>
          <w:szCs w:val="18"/>
        </w:rPr>
        <w:t>2.- Laboratorio Fabricante: HUBEI KANGNING PROTETIVE PRODUCTS.CO.,LTD</w:t>
      </w:r>
    </w:p>
    <w:p w:rsidR="00F709D0" w:rsidRPr="007862D0" w:rsidRDefault="00F709D0" w:rsidP="00F709D0">
      <w:pPr>
        <w:ind w:left="1843"/>
        <w:jc w:val="both"/>
        <w:rPr>
          <w:rFonts w:ascii="Tahoma" w:hAnsi="Tahoma" w:cs="Tahoma"/>
          <w:i/>
          <w:sz w:val="18"/>
          <w:szCs w:val="18"/>
        </w:rPr>
      </w:pPr>
      <w:r w:rsidRPr="007862D0">
        <w:rPr>
          <w:rFonts w:ascii="Tahoma" w:hAnsi="Tahoma" w:cs="Tahoma"/>
          <w:i/>
          <w:sz w:val="18"/>
          <w:szCs w:val="18"/>
        </w:rPr>
        <w:t>3.- Marca: Wmedic</w:t>
      </w:r>
    </w:p>
    <w:p w:rsidR="00F709D0" w:rsidRPr="007862D0" w:rsidRDefault="00F709D0" w:rsidP="00F709D0">
      <w:pPr>
        <w:ind w:left="1843"/>
        <w:jc w:val="both"/>
        <w:rPr>
          <w:rFonts w:ascii="Tahoma" w:hAnsi="Tahoma" w:cs="Tahoma"/>
          <w:i/>
          <w:sz w:val="18"/>
          <w:szCs w:val="18"/>
        </w:rPr>
      </w:pPr>
      <w:r w:rsidRPr="007862D0">
        <w:rPr>
          <w:rFonts w:ascii="Tahoma" w:hAnsi="Tahoma" w:cs="Tahoma"/>
          <w:i/>
          <w:sz w:val="18"/>
          <w:szCs w:val="18"/>
        </w:rPr>
        <w:t>4.- País de Fabricación: CHINA</w:t>
      </w:r>
    </w:p>
    <w:p w:rsidR="00F709D0" w:rsidRPr="007862D0" w:rsidRDefault="00F709D0" w:rsidP="00F709D0">
      <w:pPr>
        <w:ind w:left="1843"/>
        <w:jc w:val="both"/>
        <w:rPr>
          <w:rFonts w:ascii="Tahoma" w:hAnsi="Tahoma" w:cs="Tahoma"/>
          <w:i/>
          <w:sz w:val="18"/>
          <w:szCs w:val="18"/>
        </w:rPr>
      </w:pPr>
      <w:r w:rsidRPr="007862D0">
        <w:rPr>
          <w:rFonts w:ascii="Tahoma" w:hAnsi="Tahoma" w:cs="Tahoma"/>
          <w:i/>
          <w:sz w:val="18"/>
          <w:szCs w:val="18"/>
        </w:rPr>
        <w:t>7.- Número de Lote: 110220</w:t>
      </w:r>
    </w:p>
    <w:p w:rsidR="00F709D0" w:rsidRPr="007862D0" w:rsidRDefault="00F709D0" w:rsidP="00F709D0">
      <w:pPr>
        <w:ind w:left="1843"/>
        <w:jc w:val="both"/>
        <w:rPr>
          <w:rFonts w:ascii="Tahoma" w:hAnsi="Tahoma" w:cs="Tahoma"/>
          <w:i/>
          <w:sz w:val="18"/>
          <w:szCs w:val="18"/>
        </w:rPr>
      </w:pPr>
      <w:r w:rsidRPr="007862D0">
        <w:rPr>
          <w:rFonts w:ascii="Tahoma" w:hAnsi="Tahoma" w:cs="Tahoma"/>
          <w:i/>
          <w:sz w:val="18"/>
          <w:szCs w:val="18"/>
        </w:rPr>
        <w:t>8.- Fecha de Expiración: 20/02/2016</w:t>
      </w:r>
    </w:p>
    <w:p w:rsidR="00F709D0" w:rsidRPr="007862D0" w:rsidRDefault="00F709D0" w:rsidP="00F709D0">
      <w:pPr>
        <w:ind w:left="1843"/>
        <w:jc w:val="both"/>
        <w:rPr>
          <w:rFonts w:ascii="Tahoma" w:hAnsi="Tahoma" w:cs="Tahoma"/>
          <w:i/>
          <w:sz w:val="18"/>
          <w:szCs w:val="18"/>
        </w:rPr>
      </w:pPr>
      <w:r w:rsidRPr="007862D0">
        <w:rPr>
          <w:rFonts w:ascii="Tahoma" w:hAnsi="Tahoma" w:cs="Tahoma"/>
          <w:i/>
          <w:sz w:val="18"/>
          <w:szCs w:val="18"/>
        </w:rPr>
        <w:t>9.- Descripción del envase inmediato: CAJA DE CARTON</w:t>
      </w:r>
    </w:p>
    <w:p w:rsidR="00F709D0" w:rsidRPr="007862D0" w:rsidRDefault="00F709D0" w:rsidP="00F709D0">
      <w:pPr>
        <w:ind w:left="1843"/>
        <w:jc w:val="both"/>
        <w:rPr>
          <w:rFonts w:ascii="Tahoma" w:hAnsi="Tahoma" w:cs="Tahoma"/>
          <w:i/>
          <w:sz w:val="18"/>
          <w:szCs w:val="18"/>
        </w:rPr>
      </w:pPr>
      <w:r w:rsidRPr="007862D0">
        <w:rPr>
          <w:rFonts w:ascii="Tahoma" w:hAnsi="Tahoma" w:cs="Tahoma"/>
          <w:i/>
          <w:sz w:val="18"/>
          <w:szCs w:val="18"/>
        </w:rPr>
        <w:t>10.-Descripción del envase mediato: Caja de cartón x 100 Unid.</w:t>
      </w:r>
    </w:p>
    <w:p w:rsidR="00F709D0" w:rsidRPr="007862D0" w:rsidRDefault="00F709D0" w:rsidP="00F709D0">
      <w:pPr>
        <w:ind w:left="1843"/>
        <w:jc w:val="both"/>
        <w:rPr>
          <w:rFonts w:ascii="Tahoma" w:hAnsi="Tahoma" w:cs="Tahoma"/>
          <w:i/>
          <w:sz w:val="18"/>
          <w:szCs w:val="18"/>
        </w:rPr>
      </w:pPr>
      <w:r w:rsidRPr="007862D0">
        <w:rPr>
          <w:rFonts w:ascii="Tahoma" w:hAnsi="Tahoma" w:cs="Tahoma"/>
          <w:i/>
          <w:sz w:val="18"/>
          <w:szCs w:val="18"/>
        </w:rPr>
        <w:t>11.-Farmacopea de la Referencia: ISO 9001, CE</w:t>
      </w:r>
    </w:p>
    <w:p w:rsidR="00F709D0" w:rsidRPr="007862D0" w:rsidRDefault="00F709D0" w:rsidP="00F709D0">
      <w:pPr>
        <w:ind w:left="1276"/>
        <w:jc w:val="both"/>
        <w:rPr>
          <w:rFonts w:ascii="Tahoma" w:hAnsi="Tahoma" w:cs="Tahoma"/>
          <w:i/>
          <w:sz w:val="18"/>
          <w:szCs w:val="18"/>
        </w:rPr>
      </w:pPr>
    </w:p>
    <w:p w:rsidR="00F709D0" w:rsidRPr="007862D0" w:rsidRDefault="00F709D0" w:rsidP="00F709D0">
      <w:pPr>
        <w:ind w:left="1276"/>
        <w:jc w:val="both"/>
        <w:rPr>
          <w:rFonts w:ascii="Tahoma" w:hAnsi="Tahoma" w:cs="Tahoma"/>
          <w:b/>
          <w:i/>
          <w:sz w:val="18"/>
          <w:szCs w:val="18"/>
        </w:rPr>
      </w:pPr>
      <w:r w:rsidRPr="007862D0">
        <w:rPr>
          <w:rFonts w:ascii="Tahoma" w:hAnsi="Tahoma" w:cs="Tahoma"/>
          <w:b/>
          <w:i/>
          <w:sz w:val="18"/>
          <w:szCs w:val="18"/>
        </w:rPr>
        <w:t>CARACTERÍSTICAS FÍSICAS DEL BIEN</w:t>
      </w:r>
    </w:p>
    <w:p w:rsidR="00F709D0" w:rsidRPr="007862D0" w:rsidRDefault="00F709D0" w:rsidP="00F709D0">
      <w:pPr>
        <w:ind w:left="1276"/>
        <w:jc w:val="both"/>
        <w:rPr>
          <w:rFonts w:ascii="Tahoma" w:hAnsi="Tahoma" w:cs="Tahoma"/>
          <w:i/>
          <w:sz w:val="18"/>
          <w:szCs w:val="18"/>
        </w:rPr>
      </w:pPr>
    </w:p>
    <w:p w:rsidR="00F709D0" w:rsidRPr="007862D0" w:rsidRDefault="00F709D0" w:rsidP="00F709D0">
      <w:pPr>
        <w:ind w:left="1276"/>
        <w:jc w:val="both"/>
        <w:rPr>
          <w:rFonts w:ascii="Tahoma" w:hAnsi="Tahoma" w:cs="Tahoma"/>
          <w:i/>
          <w:sz w:val="18"/>
          <w:szCs w:val="18"/>
        </w:rPr>
      </w:pPr>
      <w:r w:rsidRPr="007862D0">
        <w:rPr>
          <w:rFonts w:ascii="Tahoma" w:hAnsi="Tahoma" w:cs="Tahoma"/>
          <w:i/>
          <w:sz w:val="18"/>
          <w:szCs w:val="18"/>
        </w:rPr>
        <w:t>A: Presentación:</w:t>
      </w:r>
    </w:p>
    <w:p w:rsidR="00F709D0" w:rsidRPr="007862D0" w:rsidRDefault="00F709D0" w:rsidP="00F709D0">
      <w:pPr>
        <w:ind w:left="1276"/>
        <w:jc w:val="both"/>
        <w:rPr>
          <w:rFonts w:ascii="Tahoma" w:hAnsi="Tahoma" w:cs="Tahoma"/>
          <w:i/>
          <w:sz w:val="18"/>
          <w:szCs w:val="18"/>
        </w:rPr>
      </w:pPr>
      <w:r w:rsidRPr="007862D0">
        <w:rPr>
          <w:rFonts w:ascii="Tahoma" w:hAnsi="Tahoma" w:cs="Tahoma"/>
          <w:i/>
          <w:sz w:val="18"/>
          <w:szCs w:val="18"/>
        </w:rPr>
        <w:t>1.- Empaque en bolsa de polietileno de bajo densidad</w:t>
      </w:r>
    </w:p>
    <w:p w:rsidR="00F709D0" w:rsidRPr="007862D0" w:rsidRDefault="00F709D0" w:rsidP="00F709D0">
      <w:pPr>
        <w:ind w:left="1276"/>
        <w:jc w:val="both"/>
        <w:rPr>
          <w:rFonts w:ascii="Tahoma" w:hAnsi="Tahoma" w:cs="Tahoma"/>
          <w:i/>
          <w:sz w:val="18"/>
          <w:szCs w:val="18"/>
        </w:rPr>
      </w:pPr>
      <w:r w:rsidRPr="007862D0">
        <w:rPr>
          <w:rFonts w:ascii="Tahoma" w:hAnsi="Tahoma" w:cs="Tahoma"/>
          <w:i/>
          <w:sz w:val="18"/>
          <w:szCs w:val="18"/>
        </w:rPr>
        <w:t xml:space="preserve">2.- Empaque mediato caja de cartón que asegura la integridad </w:t>
      </w:r>
    </w:p>
    <w:p w:rsidR="00F709D0" w:rsidRPr="007862D0" w:rsidRDefault="00F709D0" w:rsidP="00F709D0">
      <w:pPr>
        <w:ind w:left="1276"/>
        <w:jc w:val="both"/>
        <w:rPr>
          <w:rFonts w:ascii="Tahoma" w:hAnsi="Tahoma" w:cs="Tahoma"/>
          <w:i/>
          <w:sz w:val="18"/>
          <w:szCs w:val="18"/>
        </w:rPr>
      </w:pPr>
      <w:r w:rsidRPr="007862D0">
        <w:rPr>
          <w:rFonts w:ascii="Tahoma" w:hAnsi="Tahoma" w:cs="Tahoma"/>
          <w:i/>
          <w:sz w:val="18"/>
          <w:szCs w:val="18"/>
        </w:rPr>
        <w:t>3.- Rotulo de la caja indica el nombre del fabricante y cantidad contenida.</w:t>
      </w:r>
    </w:p>
    <w:p w:rsidR="00F709D0" w:rsidRPr="007862D0" w:rsidRDefault="00F709D0" w:rsidP="00F709D0">
      <w:pPr>
        <w:ind w:left="1276"/>
        <w:jc w:val="both"/>
        <w:rPr>
          <w:rFonts w:ascii="Tahoma" w:hAnsi="Tahoma" w:cs="Tahoma"/>
          <w:i/>
          <w:sz w:val="18"/>
          <w:szCs w:val="18"/>
        </w:rPr>
      </w:pPr>
    </w:p>
    <w:p w:rsidR="00F709D0" w:rsidRPr="007862D0" w:rsidRDefault="00F709D0" w:rsidP="00F709D0">
      <w:pPr>
        <w:ind w:left="1276"/>
        <w:jc w:val="both"/>
        <w:rPr>
          <w:rFonts w:ascii="Tahoma" w:hAnsi="Tahoma" w:cs="Tahoma"/>
          <w:b/>
          <w:i/>
          <w:sz w:val="18"/>
          <w:szCs w:val="18"/>
        </w:rPr>
      </w:pPr>
      <w:r w:rsidRPr="007862D0">
        <w:rPr>
          <w:rFonts w:ascii="Tahoma" w:hAnsi="Tahoma" w:cs="Tahoma"/>
          <w:b/>
          <w:i/>
          <w:sz w:val="18"/>
          <w:szCs w:val="18"/>
        </w:rPr>
        <w:t>COLORES:</w:t>
      </w:r>
    </w:p>
    <w:p w:rsidR="00F709D0" w:rsidRPr="007862D0" w:rsidRDefault="00F709D0" w:rsidP="00F709D0">
      <w:pPr>
        <w:ind w:left="1276"/>
        <w:jc w:val="both"/>
        <w:rPr>
          <w:rFonts w:ascii="Tahoma" w:hAnsi="Tahoma" w:cs="Tahoma"/>
          <w:i/>
          <w:sz w:val="18"/>
          <w:szCs w:val="18"/>
        </w:rPr>
      </w:pPr>
      <w:r w:rsidRPr="007862D0">
        <w:rPr>
          <w:rFonts w:ascii="Tahoma" w:hAnsi="Tahoma" w:cs="Tahoma"/>
          <w:i/>
          <w:sz w:val="18"/>
          <w:szCs w:val="18"/>
        </w:rPr>
        <w:t>BLANCO, AZUL</w:t>
      </w:r>
    </w:p>
    <w:p w:rsidR="00F709D0" w:rsidRPr="007862D0" w:rsidRDefault="00F709D0" w:rsidP="00F709D0">
      <w:pPr>
        <w:ind w:left="1276"/>
        <w:jc w:val="both"/>
        <w:rPr>
          <w:rFonts w:ascii="Tahoma" w:hAnsi="Tahoma" w:cs="Tahoma"/>
          <w:i/>
          <w:sz w:val="18"/>
          <w:szCs w:val="18"/>
        </w:rPr>
      </w:pPr>
    </w:p>
    <w:p w:rsidR="00F709D0" w:rsidRPr="007862D0" w:rsidRDefault="00F709D0" w:rsidP="00F709D0">
      <w:pPr>
        <w:ind w:left="1276"/>
        <w:jc w:val="both"/>
        <w:rPr>
          <w:rFonts w:ascii="Tahoma" w:hAnsi="Tahoma" w:cs="Tahoma"/>
          <w:b/>
          <w:i/>
          <w:sz w:val="18"/>
          <w:szCs w:val="18"/>
        </w:rPr>
      </w:pPr>
      <w:r w:rsidRPr="007862D0">
        <w:rPr>
          <w:rFonts w:ascii="Tahoma" w:hAnsi="Tahoma" w:cs="Tahoma"/>
          <w:b/>
          <w:i/>
          <w:sz w:val="18"/>
          <w:szCs w:val="18"/>
        </w:rPr>
        <w:t>CARACTERISTICAS:</w:t>
      </w:r>
    </w:p>
    <w:p w:rsidR="00F709D0" w:rsidRPr="007862D0" w:rsidRDefault="00F709D0" w:rsidP="00F709D0">
      <w:pPr>
        <w:ind w:left="1276"/>
        <w:jc w:val="both"/>
        <w:rPr>
          <w:rFonts w:ascii="Tahoma" w:hAnsi="Tahoma" w:cs="Tahoma"/>
          <w:i/>
          <w:sz w:val="18"/>
          <w:szCs w:val="18"/>
        </w:rPr>
      </w:pPr>
      <w:r w:rsidRPr="007862D0">
        <w:rPr>
          <w:rFonts w:ascii="Tahoma" w:hAnsi="Tahoma" w:cs="Tahoma"/>
          <w:i/>
          <w:sz w:val="18"/>
          <w:szCs w:val="18"/>
        </w:rPr>
        <w:t>1.- Confeccionado en material de tela no tejida SMS</w:t>
      </w:r>
    </w:p>
    <w:p w:rsidR="00F709D0" w:rsidRPr="007862D0" w:rsidRDefault="00F709D0" w:rsidP="00F709D0">
      <w:pPr>
        <w:ind w:left="1276"/>
        <w:jc w:val="both"/>
        <w:rPr>
          <w:rFonts w:ascii="Tahoma" w:hAnsi="Tahoma" w:cs="Tahoma"/>
          <w:i/>
          <w:sz w:val="18"/>
          <w:szCs w:val="18"/>
        </w:rPr>
      </w:pPr>
      <w:r w:rsidRPr="007862D0">
        <w:rPr>
          <w:rFonts w:ascii="Tahoma" w:hAnsi="Tahoma" w:cs="Tahoma"/>
          <w:i/>
          <w:sz w:val="18"/>
          <w:szCs w:val="18"/>
        </w:rPr>
        <w:t>2.- Resistente, porosidad controlada</w:t>
      </w:r>
    </w:p>
    <w:p w:rsidR="00F709D0" w:rsidRPr="007862D0" w:rsidRDefault="00F709D0" w:rsidP="00F709D0">
      <w:pPr>
        <w:ind w:left="1276"/>
        <w:jc w:val="both"/>
        <w:rPr>
          <w:rFonts w:ascii="Tahoma" w:hAnsi="Tahoma" w:cs="Tahoma"/>
          <w:i/>
          <w:sz w:val="18"/>
          <w:szCs w:val="18"/>
        </w:rPr>
      </w:pPr>
      <w:r w:rsidRPr="007862D0">
        <w:rPr>
          <w:rFonts w:ascii="Tahoma" w:hAnsi="Tahoma" w:cs="Tahoma"/>
          <w:i/>
          <w:sz w:val="18"/>
          <w:szCs w:val="18"/>
        </w:rPr>
        <w:t>3.- Gorro de adaptarse y comodidad al usuario</w:t>
      </w:r>
    </w:p>
    <w:p w:rsidR="00F709D0" w:rsidRPr="007862D0" w:rsidRDefault="00F709D0" w:rsidP="00F709D0">
      <w:pPr>
        <w:ind w:left="1276"/>
        <w:jc w:val="both"/>
        <w:rPr>
          <w:rFonts w:ascii="Tahoma" w:hAnsi="Tahoma" w:cs="Tahoma"/>
          <w:sz w:val="18"/>
          <w:szCs w:val="18"/>
        </w:rPr>
      </w:pPr>
      <w:r w:rsidRPr="007862D0">
        <w:rPr>
          <w:rFonts w:ascii="Tahoma" w:hAnsi="Tahoma" w:cs="Tahoma"/>
          <w:i/>
          <w:sz w:val="18"/>
          <w:szCs w:val="18"/>
        </w:rPr>
        <w:t>4.- Elástico suave que asegura la estabilidad del gorro”</w:t>
      </w:r>
      <w:r>
        <w:rPr>
          <w:rFonts w:ascii="Tahoma" w:hAnsi="Tahoma" w:cs="Tahoma"/>
          <w:i/>
          <w:sz w:val="18"/>
          <w:szCs w:val="18"/>
        </w:rPr>
        <w:t xml:space="preserve">   </w:t>
      </w:r>
      <w:r>
        <w:rPr>
          <w:rFonts w:ascii="Tahoma" w:hAnsi="Tahoma" w:cs="Tahoma"/>
          <w:sz w:val="18"/>
          <w:szCs w:val="18"/>
        </w:rPr>
        <w:t>(SIC)</w:t>
      </w:r>
    </w:p>
    <w:p w:rsidR="00F709D0" w:rsidRPr="003D014C" w:rsidRDefault="00F709D0" w:rsidP="00F709D0">
      <w:pPr>
        <w:ind w:left="567"/>
        <w:jc w:val="both"/>
        <w:rPr>
          <w:rFonts w:ascii="Tahoma" w:hAnsi="Tahoma" w:cs="Tahoma"/>
          <w:sz w:val="22"/>
          <w:szCs w:val="22"/>
        </w:rPr>
      </w:pPr>
    </w:p>
    <w:p w:rsidR="00F709D0" w:rsidRPr="003D014C" w:rsidRDefault="00F709D0" w:rsidP="00F709D0">
      <w:pPr>
        <w:numPr>
          <w:ilvl w:val="0"/>
          <w:numId w:val="1"/>
        </w:numPr>
        <w:tabs>
          <w:tab w:val="num" w:pos="567"/>
        </w:tabs>
        <w:ind w:left="567" w:hanging="567"/>
        <w:jc w:val="both"/>
        <w:rPr>
          <w:rFonts w:ascii="Tahoma" w:hAnsi="Tahoma" w:cs="Tahoma"/>
          <w:sz w:val="22"/>
          <w:szCs w:val="22"/>
        </w:rPr>
      </w:pPr>
      <w:r w:rsidRPr="003D014C">
        <w:rPr>
          <w:rFonts w:ascii="Tahoma" w:hAnsi="Tahoma" w:cs="Tahoma"/>
          <w:sz w:val="22"/>
          <w:szCs w:val="22"/>
        </w:rPr>
        <w:t xml:space="preserve">De todo ello, se puede advertir que no cabe amparar </w:t>
      </w:r>
      <w:r w:rsidRPr="003D014C">
        <w:rPr>
          <w:rFonts w:ascii="Tahoma" w:hAnsi="Tahoma" w:cs="Tahoma"/>
          <w:sz w:val="22"/>
          <w:szCs w:val="22"/>
          <w:lang w:val="es-PE"/>
        </w:rPr>
        <w:t xml:space="preserve">los cuestionamientos realizados por la Impugnante contra la propuesta técnica del Adjudicatario, toda vez que respecto al ítem Nº 52 </w:t>
      </w:r>
      <w:r w:rsidRPr="003D014C">
        <w:rPr>
          <w:rFonts w:ascii="Tahoma" w:hAnsi="Tahoma" w:cs="Tahoma"/>
          <w:sz w:val="22"/>
          <w:szCs w:val="22"/>
        </w:rPr>
        <w:t>de la Licitación Pública Nº 004-2010-INSN</w:t>
      </w:r>
      <w:r w:rsidRPr="003D014C">
        <w:rPr>
          <w:rFonts w:ascii="Tahoma" w:hAnsi="Tahoma" w:cs="Tahoma"/>
          <w:sz w:val="22"/>
          <w:szCs w:val="22"/>
          <w:lang w:val="es-PE"/>
        </w:rPr>
        <w:t>, las Bases Integradas no requerían documentación complementaria o estudios técnicos que confirmen las declaraciones presentadas por la Adjudicataria respecto al cumplimiento de las características del bien ofertado, por lo cual, a consideración de este Colegiado, su propuesta técnica ha sido debidamente admitida, al haber presentado la Declaración Jurada de Cumplimiento de los Requerimientos Técnicos Mínimos del Bien Convocado, así como la descripción de sus características, a fin de acreditar el cumplimiento de las especificaciones técnicas del bien objeto de convocatoria.</w:t>
      </w:r>
      <w:r w:rsidRPr="003D014C">
        <w:rPr>
          <w:rFonts w:ascii="Tahoma" w:hAnsi="Tahoma" w:cs="Tahoma"/>
          <w:sz w:val="22"/>
          <w:szCs w:val="22"/>
        </w:rPr>
        <w:t xml:space="preserve"> </w:t>
      </w:r>
    </w:p>
    <w:p w:rsidR="00F709D0" w:rsidRDefault="00F709D0" w:rsidP="00F709D0">
      <w:pPr>
        <w:ind w:left="567"/>
        <w:jc w:val="both"/>
        <w:rPr>
          <w:rFonts w:ascii="Tahoma" w:hAnsi="Tahoma" w:cs="Tahoma"/>
          <w:sz w:val="22"/>
          <w:szCs w:val="22"/>
        </w:rPr>
      </w:pPr>
    </w:p>
    <w:p w:rsidR="00F709D0" w:rsidRPr="00F30919" w:rsidRDefault="00F709D0" w:rsidP="00F709D0">
      <w:pPr>
        <w:numPr>
          <w:ilvl w:val="0"/>
          <w:numId w:val="1"/>
        </w:numPr>
        <w:tabs>
          <w:tab w:val="num" w:pos="567"/>
        </w:tabs>
        <w:ind w:left="567" w:hanging="567"/>
        <w:jc w:val="both"/>
        <w:rPr>
          <w:rFonts w:ascii="Tahoma" w:hAnsi="Tahoma" w:cs="Tahoma"/>
          <w:sz w:val="22"/>
          <w:szCs w:val="22"/>
        </w:rPr>
      </w:pPr>
      <w:r>
        <w:rPr>
          <w:rFonts w:ascii="Tahoma" w:hAnsi="Tahoma" w:cs="Tahoma"/>
          <w:sz w:val="22"/>
          <w:szCs w:val="22"/>
        </w:rPr>
        <w:t xml:space="preserve">Finalmente, la Impugnante </w:t>
      </w:r>
      <w:r w:rsidRPr="00CB662F">
        <w:rPr>
          <w:rFonts w:ascii="Tahoma" w:hAnsi="Tahoma" w:cs="Tahoma"/>
          <w:sz w:val="22"/>
          <w:szCs w:val="22"/>
        </w:rPr>
        <w:t xml:space="preserve">señaló que </w:t>
      </w:r>
      <w:r w:rsidRPr="00CB662F">
        <w:rPr>
          <w:rFonts w:ascii="Tahoma" w:hAnsi="Tahoma" w:cs="Tahoma"/>
          <w:sz w:val="22"/>
          <w:szCs w:val="22"/>
          <w:lang w:val="es-PE"/>
        </w:rPr>
        <w:t>el Adjudicatario ofertó un producto en envase mediato e inmediato en caja de cartón y luego se contradice al señalar que el producto viene en empaque de bolsa de polietileno de baja densidad.</w:t>
      </w:r>
    </w:p>
    <w:p w:rsidR="00F709D0" w:rsidRDefault="00F709D0" w:rsidP="00F709D0">
      <w:pPr>
        <w:pStyle w:val="Prrafodelista"/>
        <w:rPr>
          <w:rFonts w:ascii="Tahoma" w:hAnsi="Tahoma" w:cs="Tahoma"/>
          <w:sz w:val="22"/>
          <w:szCs w:val="22"/>
        </w:rPr>
      </w:pPr>
    </w:p>
    <w:p w:rsidR="00F709D0" w:rsidRPr="00F30919" w:rsidRDefault="00F709D0" w:rsidP="00F709D0">
      <w:pPr>
        <w:numPr>
          <w:ilvl w:val="0"/>
          <w:numId w:val="1"/>
        </w:numPr>
        <w:tabs>
          <w:tab w:val="num" w:pos="567"/>
        </w:tabs>
        <w:ind w:left="567" w:hanging="567"/>
        <w:jc w:val="both"/>
        <w:rPr>
          <w:rFonts w:ascii="Tahoma" w:hAnsi="Tahoma" w:cs="Tahoma"/>
          <w:sz w:val="22"/>
          <w:szCs w:val="22"/>
        </w:rPr>
      </w:pPr>
      <w:r>
        <w:rPr>
          <w:rFonts w:ascii="Tahoma" w:hAnsi="Tahoma" w:cs="Tahoma"/>
          <w:sz w:val="22"/>
          <w:szCs w:val="22"/>
        </w:rPr>
        <w:lastRenderedPageBreak/>
        <w:t>Al respecto</w:t>
      </w:r>
      <w:r w:rsidRPr="00F30919">
        <w:rPr>
          <w:rFonts w:ascii="Tahoma" w:hAnsi="Tahoma" w:cs="Tahoma"/>
          <w:sz w:val="22"/>
          <w:szCs w:val="22"/>
        </w:rPr>
        <w:t>, cabe precisar que en el Capítulo IV REQUERIMIENTOS TÉCNICOS MÍNIMOS de las Bases Integradas de la Licitación Pública Nº 004-2010-INSN, se estableció lo siguiente:</w:t>
      </w:r>
    </w:p>
    <w:p w:rsidR="00F709D0" w:rsidRDefault="00F709D0" w:rsidP="00F709D0">
      <w:pPr>
        <w:ind w:left="567"/>
        <w:jc w:val="both"/>
        <w:rPr>
          <w:rFonts w:ascii="Tahoma" w:hAnsi="Tahoma" w:cs="Tahoma"/>
          <w:sz w:val="22"/>
          <w:szCs w:val="22"/>
        </w:rPr>
      </w:pPr>
    </w:p>
    <w:p w:rsidR="00F709D0" w:rsidRPr="00485EB3" w:rsidRDefault="00F709D0" w:rsidP="00F709D0">
      <w:pPr>
        <w:jc w:val="center"/>
        <w:rPr>
          <w:rFonts w:ascii="Tahoma" w:hAnsi="Tahoma" w:cs="Tahoma"/>
          <w:b/>
          <w:i/>
          <w:sz w:val="18"/>
          <w:szCs w:val="18"/>
          <w:u w:val="single"/>
          <w:lang w:val="pt-BR"/>
        </w:rPr>
      </w:pPr>
      <w:r w:rsidRPr="00485EB3">
        <w:rPr>
          <w:rFonts w:ascii="Tahoma" w:hAnsi="Tahoma" w:cs="Tahoma"/>
          <w:b/>
          <w:i/>
          <w:sz w:val="18"/>
          <w:szCs w:val="18"/>
          <w:u w:val="single"/>
          <w:lang w:val="pt-BR"/>
        </w:rPr>
        <w:t>ITEM Nº 52: GORRO DESCARTABLE DE ENFERMERA</w:t>
      </w:r>
    </w:p>
    <w:p w:rsidR="00F709D0" w:rsidRPr="00F30919" w:rsidRDefault="00F709D0" w:rsidP="00F709D0">
      <w:pPr>
        <w:rPr>
          <w:rFonts w:ascii="Tahoma" w:hAnsi="Tahoma" w:cs="Tahoma"/>
          <w:b/>
          <w:i/>
          <w:sz w:val="18"/>
          <w:szCs w:val="18"/>
          <w:lang w:val="pt-BR"/>
        </w:rPr>
      </w:pPr>
    </w:p>
    <w:tbl>
      <w:tblPr>
        <w:tblpPr w:leftFromText="141" w:rightFromText="141" w:vertAnchor="text" w:horzAnchor="margin" w:tblpXSpec="center" w:tblpY="192"/>
        <w:tblW w:w="7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54"/>
      </w:tblGrid>
      <w:tr w:rsidR="00F709D0" w:rsidRPr="00485EB3" w:rsidTr="0047031E">
        <w:trPr>
          <w:cantSplit/>
          <w:trHeight w:val="228"/>
        </w:trPr>
        <w:tc>
          <w:tcPr>
            <w:tcW w:w="7054" w:type="dxa"/>
          </w:tcPr>
          <w:p w:rsidR="00F709D0" w:rsidRPr="00485EB3" w:rsidRDefault="00F709D0" w:rsidP="0047031E">
            <w:pPr>
              <w:rPr>
                <w:rFonts w:ascii="Tahoma" w:hAnsi="Tahoma" w:cs="Tahoma"/>
                <w:b/>
                <w:i/>
                <w:sz w:val="18"/>
                <w:szCs w:val="18"/>
              </w:rPr>
            </w:pPr>
            <w:r w:rsidRPr="00485EB3">
              <w:rPr>
                <w:rFonts w:ascii="Tahoma" w:hAnsi="Tahoma" w:cs="Tahoma"/>
                <w:b/>
                <w:i/>
                <w:sz w:val="18"/>
                <w:szCs w:val="18"/>
              </w:rPr>
              <w:t>A:</w:t>
            </w:r>
            <w:r w:rsidRPr="00485EB3">
              <w:rPr>
                <w:rFonts w:ascii="Tahoma" w:hAnsi="Tahoma" w:cs="Tahoma"/>
                <w:bCs/>
                <w:i/>
                <w:sz w:val="18"/>
                <w:szCs w:val="18"/>
              </w:rPr>
              <w:t xml:space="preserve"> </w:t>
            </w:r>
            <w:r w:rsidRPr="00485EB3">
              <w:rPr>
                <w:rFonts w:ascii="Tahoma" w:hAnsi="Tahoma" w:cs="Tahoma"/>
                <w:b/>
                <w:i/>
                <w:sz w:val="18"/>
                <w:szCs w:val="18"/>
              </w:rPr>
              <w:t xml:space="preserve">Presentación                                                                     </w:t>
            </w:r>
            <w:r w:rsidRPr="00485EB3">
              <w:rPr>
                <w:rFonts w:ascii="Tahoma" w:hAnsi="Tahoma" w:cs="Tahoma"/>
                <w:bCs/>
                <w:i/>
                <w:sz w:val="18"/>
                <w:szCs w:val="18"/>
              </w:rPr>
              <w:t xml:space="preserve">                </w:t>
            </w:r>
          </w:p>
        </w:tc>
      </w:tr>
      <w:tr w:rsidR="00F709D0" w:rsidRPr="00485EB3" w:rsidTr="0047031E">
        <w:trPr>
          <w:trHeight w:val="249"/>
        </w:trPr>
        <w:tc>
          <w:tcPr>
            <w:tcW w:w="7054" w:type="dxa"/>
          </w:tcPr>
          <w:p w:rsidR="00F709D0" w:rsidRPr="00485EB3" w:rsidRDefault="00F709D0" w:rsidP="0047031E">
            <w:pPr>
              <w:rPr>
                <w:rFonts w:ascii="Tahoma" w:hAnsi="Tahoma" w:cs="Tahoma"/>
                <w:i/>
                <w:sz w:val="18"/>
                <w:szCs w:val="18"/>
              </w:rPr>
            </w:pPr>
            <w:r w:rsidRPr="00485EB3">
              <w:rPr>
                <w:rFonts w:ascii="Tahoma" w:hAnsi="Tahoma" w:cs="Tahoma"/>
                <w:i/>
                <w:sz w:val="18"/>
                <w:szCs w:val="18"/>
              </w:rPr>
              <w:t>1.- Empaque en bolsa de polietileno de baja densidad</w:t>
            </w:r>
          </w:p>
        </w:tc>
      </w:tr>
      <w:tr w:rsidR="00F709D0" w:rsidRPr="00485EB3" w:rsidTr="0047031E">
        <w:trPr>
          <w:trHeight w:val="209"/>
        </w:trPr>
        <w:tc>
          <w:tcPr>
            <w:tcW w:w="7054" w:type="dxa"/>
          </w:tcPr>
          <w:p w:rsidR="00F709D0" w:rsidRPr="00485EB3" w:rsidRDefault="00F709D0" w:rsidP="0047031E">
            <w:pPr>
              <w:rPr>
                <w:rFonts w:ascii="Tahoma" w:hAnsi="Tahoma" w:cs="Tahoma"/>
                <w:i/>
                <w:sz w:val="18"/>
                <w:szCs w:val="18"/>
              </w:rPr>
            </w:pPr>
            <w:r w:rsidRPr="00485EB3">
              <w:rPr>
                <w:rFonts w:ascii="Tahoma" w:hAnsi="Tahoma" w:cs="Tahoma"/>
                <w:i/>
                <w:sz w:val="18"/>
                <w:szCs w:val="18"/>
              </w:rPr>
              <w:t>2.- Empaque mediato caja de cartón que asegure la integridad y conservación del producto</w:t>
            </w:r>
          </w:p>
        </w:tc>
      </w:tr>
      <w:tr w:rsidR="00F709D0" w:rsidRPr="00485EB3" w:rsidTr="0047031E">
        <w:trPr>
          <w:trHeight w:val="249"/>
        </w:trPr>
        <w:tc>
          <w:tcPr>
            <w:tcW w:w="7054" w:type="dxa"/>
          </w:tcPr>
          <w:p w:rsidR="00F709D0" w:rsidRPr="00485EB3" w:rsidRDefault="00F709D0" w:rsidP="0047031E">
            <w:pPr>
              <w:rPr>
                <w:rFonts w:ascii="Tahoma" w:hAnsi="Tahoma" w:cs="Tahoma"/>
                <w:i/>
                <w:sz w:val="18"/>
                <w:szCs w:val="18"/>
              </w:rPr>
            </w:pPr>
            <w:r w:rsidRPr="00485EB3">
              <w:rPr>
                <w:rFonts w:ascii="Tahoma" w:hAnsi="Tahoma" w:cs="Tahoma"/>
                <w:i/>
                <w:sz w:val="18"/>
                <w:szCs w:val="18"/>
              </w:rPr>
              <w:t>3.- Rotulo de la caja debe indicar el nombre del fabricante, cantidad contenida.</w:t>
            </w:r>
          </w:p>
        </w:tc>
      </w:tr>
    </w:tbl>
    <w:p w:rsidR="00F709D0" w:rsidRPr="00F30919" w:rsidRDefault="00F709D0" w:rsidP="00F709D0">
      <w:pPr>
        <w:pStyle w:val="Prrafodelista"/>
        <w:rPr>
          <w:rFonts w:ascii="Tahoma" w:hAnsi="Tahoma" w:cs="Tahoma"/>
          <w:sz w:val="22"/>
          <w:szCs w:val="22"/>
        </w:rPr>
      </w:pPr>
    </w:p>
    <w:p w:rsidR="00F709D0" w:rsidRDefault="00F709D0" w:rsidP="00F709D0">
      <w:pPr>
        <w:pStyle w:val="Prrafodelista"/>
        <w:rPr>
          <w:rFonts w:ascii="Tahoma" w:hAnsi="Tahoma" w:cs="Tahoma"/>
          <w:sz w:val="22"/>
          <w:szCs w:val="22"/>
        </w:rPr>
      </w:pPr>
    </w:p>
    <w:p w:rsidR="00F709D0" w:rsidRDefault="00F709D0" w:rsidP="00F709D0">
      <w:pPr>
        <w:pStyle w:val="Prrafodelista"/>
        <w:rPr>
          <w:rFonts w:ascii="Tahoma" w:hAnsi="Tahoma" w:cs="Tahoma"/>
          <w:sz w:val="22"/>
          <w:szCs w:val="22"/>
        </w:rPr>
      </w:pPr>
    </w:p>
    <w:p w:rsidR="00F709D0" w:rsidRDefault="00F709D0" w:rsidP="00F709D0">
      <w:pPr>
        <w:pStyle w:val="Prrafodelista"/>
        <w:rPr>
          <w:rFonts w:ascii="Tahoma" w:hAnsi="Tahoma" w:cs="Tahoma"/>
          <w:sz w:val="22"/>
          <w:szCs w:val="22"/>
        </w:rPr>
      </w:pPr>
    </w:p>
    <w:p w:rsidR="00F709D0" w:rsidRDefault="00F709D0" w:rsidP="00F709D0">
      <w:pPr>
        <w:numPr>
          <w:ilvl w:val="0"/>
          <w:numId w:val="1"/>
        </w:numPr>
        <w:tabs>
          <w:tab w:val="num" w:pos="567"/>
        </w:tabs>
        <w:ind w:left="567" w:hanging="567"/>
        <w:jc w:val="both"/>
        <w:rPr>
          <w:rFonts w:ascii="Tahoma" w:hAnsi="Tahoma" w:cs="Tahoma"/>
          <w:sz w:val="22"/>
          <w:szCs w:val="22"/>
        </w:rPr>
      </w:pPr>
      <w:r w:rsidRPr="00CB662F">
        <w:rPr>
          <w:rFonts w:ascii="Tahoma" w:hAnsi="Tahoma" w:cs="Tahoma"/>
          <w:sz w:val="22"/>
          <w:szCs w:val="22"/>
        </w:rPr>
        <w:t xml:space="preserve">En relación a ello, </w:t>
      </w:r>
      <w:r>
        <w:rPr>
          <w:rFonts w:ascii="Tahoma" w:hAnsi="Tahoma" w:cs="Tahoma"/>
          <w:sz w:val="22"/>
          <w:szCs w:val="22"/>
        </w:rPr>
        <w:t>cabe precisar que a fojas 79 de su propuesta técnica, la Adjudicataria consignó lo siguiente:</w:t>
      </w:r>
    </w:p>
    <w:p w:rsidR="00F709D0" w:rsidRPr="00E203B2" w:rsidRDefault="00F709D0" w:rsidP="00F709D0">
      <w:pPr>
        <w:rPr>
          <w:rFonts w:ascii="Tahoma" w:hAnsi="Tahoma" w:cs="Tahoma"/>
          <w:sz w:val="22"/>
          <w:szCs w:val="22"/>
        </w:rPr>
      </w:pPr>
    </w:p>
    <w:p w:rsidR="00F709D0" w:rsidRDefault="00F709D0" w:rsidP="00F709D0">
      <w:pPr>
        <w:pStyle w:val="Prrafodelista"/>
        <w:rPr>
          <w:rFonts w:ascii="Tahoma" w:hAnsi="Tahoma" w:cs="Tahoma"/>
          <w:sz w:val="22"/>
          <w:szCs w:val="22"/>
        </w:rPr>
      </w:pPr>
      <w:r>
        <w:rPr>
          <w:rFonts w:ascii="Tahoma" w:hAnsi="Tahoma" w:cs="Tahoma"/>
          <w:sz w:val="22"/>
          <w:szCs w:val="22"/>
        </w:rPr>
        <w:t>(…)</w:t>
      </w:r>
    </w:p>
    <w:p w:rsidR="00F709D0" w:rsidRPr="007862D0" w:rsidRDefault="00F709D0" w:rsidP="00F709D0">
      <w:pPr>
        <w:ind w:left="1843"/>
        <w:jc w:val="both"/>
        <w:rPr>
          <w:rFonts w:ascii="Tahoma" w:hAnsi="Tahoma" w:cs="Tahoma"/>
          <w:i/>
          <w:sz w:val="18"/>
          <w:szCs w:val="18"/>
        </w:rPr>
      </w:pPr>
      <w:r w:rsidRPr="007862D0">
        <w:rPr>
          <w:rFonts w:ascii="Tahoma" w:hAnsi="Tahoma" w:cs="Tahoma"/>
          <w:i/>
          <w:sz w:val="18"/>
          <w:szCs w:val="18"/>
        </w:rPr>
        <w:t>9.- Descripción del envase inmediato: CAJA DE CARTON</w:t>
      </w:r>
    </w:p>
    <w:p w:rsidR="00F709D0" w:rsidRPr="007862D0" w:rsidRDefault="00F709D0" w:rsidP="00F709D0">
      <w:pPr>
        <w:ind w:left="1843"/>
        <w:jc w:val="both"/>
        <w:rPr>
          <w:rFonts w:ascii="Tahoma" w:hAnsi="Tahoma" w:cs="Tahoma"/>
          <w:i/>
          <w:sz w:val="18"/>
          <w:szCs w:val="18"/>
        </w:rPr>
      </w:pPr>
      <w:r w:rsidRPr="007862D0">
        <w:rPr>
          <w:rFonts w:ascii="Tahoma" w:hAnsi="Tahoma" w:cs="Tahoma"/>
          <w:i/>
          <w:sz w:val="18"/>
          <w:szCs w:val="18"/>
        </w:rPr>
        <w:t>10.-Descripción del envase mediato: Caja de cartón x 100 Unid.</w:t>
      </w:r>
    </w:p>
    <w:p w:rsidR="00F709D0" w:rsidRPr="007862D0" w:rsidRDefault="00F709D0" w:rsidP="00F709D0">
      <w:pPr>
        <w:ind w:left="1843"/>
        <w:jc w:val="both"/>
        <w:rPr>
          <w:rFonts w:ascii="Tahoma" w:hAnsi="Tahoma" w:cs="Tahoma"/>
          <w:i/>
          <w:sz w:val="18"/>
          <w:szCs w:val="18"/>
        </w:rPr>
      </w:pPr>
      <w:r w:rsidRPr="007862D0">
        <w:rPr>
          <w:rFonts w:ascii="Tahoma" w:hAnsi="Tahoma" w:cs="Tahoma"/>
          <w:i/>
          <w:sz w:val="18"/>
          <w:szCs w:val="18"/>
        </w:rPr>
        <w:t>11.-Farmacopea de la Referencia: ISO 9001, CE</w:t>
      </w:r>
    </w:p>
    <w:p w:rsidR="00F709D0" w:rsidRPr="007862D0" w:rsidRDefault="00F709D0" w:rsidP="00F709D0">
      <w:pPr>
        <w:ind w:left="1276"/>
        <w:jc w:val="both"/>
        <w:rPr>
          <w:rFonts w:ascii="Tahoma" w:hAnsi="Tahoma" w:cs="Tahoma"/>
          <w:i/>
          <w:sz w:val="18"/>
          <w:szCs w:val="18"/>
        </w:rPr>
      </w:pPr>
    </w:p>
    <w:p w:rsidR="00F709D0" w:rsidRPr="007862D0" w:rsidRDefault="00F709D0" w:rsidP="00F709D0">
      <w:pPr>
        <w:ind w:left="1276"/>
        <w:jc w:val="both"/>
        <w:rPr>
          <w:rFonts w:ascii="Tahoma" w:hAnsi="Tahoma" w:cs="Tahoma"/>
          <w:b/>
          <w:i/>
          <w:sz w:val="18"/>
          <w:szCs w:val="18"/>
        </w:rPr>
      </w:pPr>
      <w:r w:rsidRPr="007862D0">
        <w:rPr>
          <w:rFonts w:ascii="Tahoma" w:hAnsi="Tahoma" w:cs="Tahoma"/>
          <w:b/>
          <w:i/>
          <w:sz w:val="18"/>
          <w:szCs w:val="18"/>
        </w:rPr>
        <w:t>CARACTERÍSTICAS FÍSICAS DEL BIEN</w:t>
      </w:r>
    </w:p>
    <w:p w:rsidR="00F709D0" w:rsidRPr="007862D0" w:rsidRDefault="00F709D0" w:rsidP="00F709D0">
      <w:pPr>
        <w:ind w:left="1276"/>
        <w:jc w:val="both"/>
        <w:rPr>
          <w:rFonts w:ascii="Tahoma" w:hAnsi="Tahoma" w:cs="Tahoma"/>
          <w:i/>
          <w:sz w:val="18"/>
          <w:szCs w:val="18"/>
        </w:rPr>
      </w:pPr>
    </w:p>
    <w:p w:rsidR="00F709D0" w:rsidRPr="007862D0" w:rsidRDefault="00F709D0" w:rsidP="00F709D0">
      <w:pPr>
        <w:ind w:left="1276"/>
        <w:jc w:val="both"/>
        <w:rPr>
          <w:rFonts w:ascii="Tahoma" w:hAnsi="Tahoma" w:cs="Tahoma"/>
          <w:i/>
          <w:sz w:val="18"/>
          <w:szCs w:val="18"/>
        </w:rPr>
      </w:pPr>
      <w:r w:rsidRPr="007862D0">
        <w:rPr>
          <w:rFonts w:ascii="Tahoma" w:hAnsi="Tahoma" w:cs="Tahoma"/>
          <w:i/>
          <w:sz w:val="18"/>
          <w:szCs w:val="18"/>
        </w:rPr>
        <w:t>A: Presentación:</w:t>
      </w:r>
    </w:p>
    <w:p w:rsidR="00F709D0" w:rsidRPr="007862D0" w:rsidRDefault="00F709D0" w:rsidP="00F709D0">
      <w:pPr>
        <w:ind w:left="1276"/>
        <w:jc w:val="both"/>
        <w:rPr>
          <w:rFonts w:ascii="Tahoma" w:hAnsi="Tahoma" w:cs="Tahoma"/>
          <w:i/>
          <w:sz w:val="18"/>
          <w:szCs w:val="18"/>
        </w:rPr>
      </w:pPr>
      <w:r w:rsidRPr="007862D0">
        <w:rPr>
          <w:rFonts w:ascii="Tahoma" w:hAnsi="Tahoma" w:cs="Tahoma"/>
          <w:i/>
          <w:sz w:val="18"/>
          <w:szCs w:val="18"/>
        </w:rPr>
        <w:t>1.- Empaque en bolsa de polietileno de bajo densidad</w:t>
      </w:r>
    </w:p>
    <w:p w:rsidR="00F709D0" w:rsidRPr="007862D0" w:rsidRDefault="00F709D0" w:rsidP="00F709D0">
      <w:pPr>
        <w:ind w:left="1276"/>
        <w:jc w:val="both"/>
        <w:rPr>
          <w:rFonts w:ascii="Tahoma" w:hAnsi="Tahoma" w:cs="Tahoma"/>
          <w:i/>
          <w:sz w:val="18"/>
          <w:szCs w:val="18"/>
        </w:rPr>
      </w:pPr>
      <w:r w:rsidRPr="007862D0">
        <w:rPr>
          <w:rFonts w:ascii="Tahoma" w:hAnsi="Tahoma" w:cs="Tahoma"/>
          <w:i/>
          <w:sz w:val="18"/>
          <w:szCs w:val="18"/>
        </w:rPr>
        <w:t xml:space="preserve">2.- Empaque mediato caja de cartón que asegura la integridad </w:t>
      </w:r>
    </w:p>
    <w:p w:rsidR="00F709D0" w:rsidRPr="007862D0" w:rsidRDefault="00F709D0" w:rsidP="00F709D0">
      <w:pPr>
        <w:ind w:left="1276"/>
        <w:jc w:val="both"/>
        <w:rPr>
          <w:rFonts w:ascii="Tahoma" w:hAnsi="Tahoma" w:cs="Tahoma"/>
          <w:i/>
          <w:sz w:val="18"/>
          <w:szCs w:val="18"/>
        </w:rPr>
      </w:pPr>
      <w:r w:rsidRPr="007862D0">
        <w:rPr>
          <w:rFonts w:ascii="Tahoma" w:hAnsi="Tahoma" w:cs="Tahoma"/>
          <w:i/>
          <w:sz w:val="18"/>
          <w:szCs w:val="18"/>
        </w:rPr>
        <w:t>3.- Rotulo de la caja indica el nombre del fabricante y cantidad contenida.</w:t>
      </w:r>
    </w:p>
    <w:p w:rsidR="00F709D0" w:rsidRDefault="00F709D0" w:rsidP="00F709D0">
      <w:pPr>
        <w:ind w:left="567"/>
        <w:jc w:val="both"/>
        <w:rPr>
          <w:rFonts w:ascii="Tahoma" w:hAnsi="Tahoma" w:cs="Tahoma"/>
          <w:sz w:val="22"/>
          <w:szCs w:val="22"/>
        </w:rPr>
      </w:pPr>
    </w:p>
    <w:p w:rsidR="00F709D0" w:rsidRPr="00E203B2" w:rsidRDefault="00F709D0" w:rsidP="00F709D0">
      <w:pPr>
        <w:ind w:left="567"/>
        <w:jc w:val="both"/>
        <w:rPr>
          <w:rFonts w:ascii="Tahoma" w:hAnsi="Tahoma" w:cs="Tahoma"/>
          <w:sz w:val="22"/>
          <w:szCs w:val="22"/>
        </w:rPr>
      </w:pPr>
      <w:r>
        <w:rPr>
          <w:rFonts w:ascii="Tahoma" w:hAnsi="Tahoma" w:cs="Tahoma"/>
          <w:sz w:val="22"/>
          <w:szCs w:val="22"/>
        </w:rPr>
        <w:t>(…)</w:t>
      </w:r>
    </w:p>
    <w:p w:rsidR="00F709D0" w:rsidRPr="00E203B2" w:rsidRDefault="00F709D0" w:rsidP="00F709D0">
      <w:pPr>
        <w:rPr>
          <w:rFonts w:ascii="Tahoma" w:hAnsi="Tahoma" w:cs="Tahoma"/>
          <w:sz w:val="22"/>
          <w:szCs w:val="22"/>
        </w:rPr>
      </w:pPr>
    </w:p>
    <w:p w:rsidR="00F709D0" w:rsidRDefault="00F709D0" w:rsidP="00F709D0">
      <w:pPr>
        <w:numPr>
          <w:ilvl w:val="0"/>
          <w:numId w:val="1"/>
        </w:numPr>
        <w:tabs>
          <w:tab w:val="num" w:pos="567"/>
        </w:tabs>
        <w:ind w:left="567" w:hanging="567"/>
        <w:jc w:val="both"/>
        <w:rPr>
          <w:rFonts w:ascii="Tahoma" w:hAnsi="Tahoma" w:cs="Tahoma"/>
          <w:sz w:val="22"/>
          <w:szCs w:val="22"/>
        </w:rPr>
      </w:pPr>
      <w:r w:rsidRPr="00E2568A">
        <w:rPr>
          <w:rFonts w:ascii="Tahoma" w:hAnsi="Tahoma" w:cs="Tahoma"/>
          <w:sz w:val="22"/>
          <w:szCs w:val="22"/>
        </w:rPr>
        <w:t>Nótese entonces, que el cuestionamiento realizado por la Impugnante tampoco resulta amparable, toda vez que las Bases Integradas sólo establecieron que el producto tenga como presentación “empaque en bolsa de polietileno” y como empaque mediato “caja de cartón”; no señalando que característica debía tener el envase inmediato; por lo tanto, no perjudica de manera alguna la propuesta técnica de la Adjudicataria, al haber señalado como empaque inmediato “Caja de Cartón”, máxime si lo requerido en las Bases Integradas ha sido debidamente cumplido por la Adjudicataria al señalar que la presentación del producto cumple con el empaque en bolsa de polietileno de bajo densidad y como empaque mediato caja de cartón que asegura la integridad.</w:t>
      </w:r>
      <w:r>
        <w:rPr>
          <w:rFonts w:ascii="Tahoma" w:hAnsi="Tahoma" w:cs="Tahoma"/>
          <w:sz w:val="22"/>
          <w:szCs w:val="22"/>
        </w:rPr>
        <w:t xml:space="preserve"> </w:t>
      </w:r>
    </w:p>
    <w:p w:rsidR="00F709D0" w:rsidRDefault="00F709D0" w:rsidP="00F709D0">
      <w:pPr>
        <w:ind w:left="567"/>
        <w:jc w:val="both"/>
        <w:rPr>
          <w:rFonts w:ascii="Tahoma" w:hAnsi="Tahoma" w:cs="Tahoma"/>
          <w:sz w:val="22"/>
          <w:szCs w:val="22"/>
        </w:rPr>
      </w:pPr>
    </w:p>
    <w:p w:rsidR="00F709D0" w:rsidRDefault="00F709D0" w:rsidP="00F709D0">
      <w:pPr>
        <w:pStyle w:val="Sangradetextonormal"/>
        <w:widowControl w:val="0"/>
        <w:numPr>
          <w:ilvl w:val="0"/>
          <w:numId w:val="1"/>
        </w:numPr>
        <w:suppressAutoHyphens/>
        <w:spacing w:after="0"/>
        <w:ind w:left="567" w:hanging="567"/>
        <w:jc w:val="both"/>
        <w:rPr>
          <w:rFonts w:ascii="Tahoma" w:hAnsi="Tahoma" w:cs="Tahoma"/>
          <w:sz w:val="22"/>
          <w:szCs w:val="22"/>
        </w:rPr>
      </w:pPr>
      <w:r w:rsidRPr="002C1945">
        <w:rPr>
          <w:rFonts w:ascii="Tahoma" w:hAnsi="Tahoma" w:cs="Tahoma"/>
          <w:sz w:val="22"/>
          <w:szCs w:val="22"/>
        </w:rPr>
        <w:t xml:space="preserve">Consecuentemente, </w:t>
      </w:r>
      <w:r>
        <w:rPr>
          <w:rFonts w:ascii="Tahoma" w:hAnsi="Tahoma" w:cs="Tahoma"/>
          <w:sz w:val="22"/>
          <w:szCs w:val="22"/>
        </w:rPr>
        <w:t>al no haberse amparado los cuestionamientos realizados por la Impugnante en el recurso de apelación interpuesto, resulta irrelevante pronunciarse</w:t>
      </w:r>
      <w:r w:rsidRPr="002C1945">
        <w:rPr>
          <w:rFonts w:ascii="Tahoma" w:hAnsi="Tahoma" w:cs="Tahoma"/>
          <w:sz w:val="22"/>
          <w:szCs w:val="22"/>
        </w:rPr>
        <w:t xml:space="preserve"> </w:t>
      </w:r>
      <w:r>
        <w:rPr>
          <w:rFonts w:ascii="Tahoma" w:hAnsi="Tahoma" w:cs="Tahoma"/>
          <w:sz w:val="22"/>
          <w:szCs w:val="22"/>
        </w:rPr>
        <w:t xml:space="preserve">sobre los </w:t>
      </w:r>
      <w:r w:rsidRPr="002C1945">
        <w:rPr>
          <w:rFonts w:ascii="Tahoma" w:hAnsi="Tahoma" w:cs="Tahoma"/>
          <w:sz w:val="22"/>
          <w:szCs w:val="22"/>
        </w:rPr>
        <w:t>cuestionamientos formulado</w:t>
      </w:r>
      <w:r>
        <w:rPr>
          <w:rFonts w:ascii="Tahoma" w:hAnsi="Tahoma" w:cs="Tahoma"/>
          <w:sz w:val="22"/>
          <w:szCs w:val="22"/>
        </w:rPr>
        <w:t>s por el Adjudicatario contra la propuesta técnica del Impugnante,</w:t>
      </w:r>
      <w:r w:rsidRPr="002C1945">
        <w:rPr>
          <w:rFonts w:ascii="Tahoma" w:hAnsi="Tahoma" w:cs="Tahoma"/>
          <w:sz w:val="22"/>
          <w:szCs w:val="22"/>
        </w:rPr>
        <w:t xml:space="preserve"> toda vez que el resultado final seguirá siend</w:t>
      </w:r>
      <w:r>
        <w:rPr>
          <w:rFonts w:ascii="Tahoma" w:hAnsi="Tahoma" w:cs="Tahoma"/>
          <w:sz w:val="22"/>
          <w:szCs w:val="22"/>
        </w:rPr>
        <w:t>o desfavorable para la recurrente.</w:t>
      </w:r>
    </w:p>
    <w:p w:rsidR="00F709D0" w:rsidRDefault="00F709D0" w:rsidP="00F709D0">
      <w:pPr>
        <w:pStyle w:val="Prrafodelista"/>
        <w:rPr>
          <w:rFonts w:ascii="Tahoma" w:hAnsi="Tahoma" w:cs="Tahoma"/>
          <w:sz w:val="22"/>
          <w:szCs w:val="22"/>
        </w:rPr>
      </w:pPr>
    </w:p>
    <w:p w:rsidR="00F709D0" w:rsidRDefault="00F709D0" w:rsidP="00F709D0">
      <w:pPr>
        <w:pStyle w:val="Sangradetextonormal"/>
        <w:widowControl w:val="0"/>
        <w:numPr>
          <w:ilvl w:val="0"/>
          <w:numId w:val="1"/>
        </w:numPr>
        <w:suppressAutoHyphens/>
        <w:spacing w:after="0"/>
        <w:ind w:left="567" w:hanging="567"/>
        <w:jc w:val="both"/>
        <w:rPr>
          <w:rFonts w:ascii="Tahoma" w:hAnsi="Tahoma" w:cs="Tahoma"/>
          <w:sz w:val="22"/>
          <w:szCs w:val="22"/>
        </w:rPr>
      </w:pPr>
      <w:r w:rsidRPr="00194156">
        <w:rPr>
          <w:rFonts w:ascii="Tahoma" w:hAnsi="Tahoma" w:cs="Tahoma"/>
          <w:sz w:val="22"/>
          <w:szCs w:val="22"/>
        </w:rPr>
        <w:t xml:space="preserve">En conclusión, y en base a los argumentos expuestos, en aplicación de lo </w:t>
      </w:r>
      <w:r w:rsidRPr="00194156">
        <w:rPr>
          <w:rFonts w:ascii="Tahoma" w:hAnsi="Tahoma" w:cs="Tahoma"/>
          <w:sz w:val="22"/>
          <w:szCs w:val="22"/>
        </w:rPr>
        <w:lastRenderedPageBreak/>
        <w:t xml:space="preserve">dispuesto en el numeral 1) del artículo 119º del Reglamento, corresponde declarar infundado el recurso de apelación interpuesto por la empresa la empresa </w:t>
      </w:r>
      <w:r w:rsidRPr="00194156">
        <w:rPr>
          <w:rFonts w:ascii="Tahoma" w:hAnsi="Tahoma" w:cs="Tahoma"/>
          <w:color w:val="000000"/>
          <w:sz w:val="22"/>
          <w:szCs w:val="22"/>
        </w:rPr>
        <w:t>CORPORACION VALTAKS SCRL</w:t>
      </w:r>
      <w:r w:rsidRPr="00194156">
        <w:rPr>
          <w:rFonts w:ascii="Tahoma" w:hAnsi="Tahoma" w:cs="Tahoma"/>
          <w:sz w:val="22"/>
          <w:szCs w:val="22"/>
        </w:rPr>
        <w:t>, contra el acto de otorgamiento de la Buena Pro del ítem Nº 52 de la Licitación Pública Nº 004-</w:t>
      </w:r>
      <w:r>
        <w:rPr>
          <w:rFonts w:ascii="Tahoma" w:hAnsi="Tahoma" w:cs="Tahoma"/>
          <w:sz w:val="22"/>
          <w:szCs w:val="22"/>
        </w:rPr>
        <w:t>2010-INSN</w:t>
      </w:r>
      <w:r w:rsidRPr="00194156">
        <w:rPr>
          <w:rFonts w:ascii="Tahoma" w:hAnsi="Tahoma" w:cs="Tahoma"/>
          <w:sz w:val="22"/>
          <w:szCs w:val="22"/>
        </w:rPr>
        <w:t>, para la “Adquisición de material médico quirúrgico y hospitalario para los servicios asistenciales del INSN”</w:t>
      </w:r>
      <w:r>
        <w:rPr>
          <w:rFonts w:ascii="Tahoma" w:hAnsi="Tahoma" w:cs="Tahoma"/>
          <w:sz w:val="22"/>
          <w:szCs w:val="22"/>
        </w:rPr>
        <w:t>.</w:t>
      </w:r>
    </w:p>
    <w:p w:rsidR="00F709D0" w:rsidRDefault="00F709D0" w:rsidP="00F709D0">
      <w:pPr>
        <w:pStyle w:val="Prrafodelista"/>
        <w:rPr>
          <w:rFonts w:ascii="Tahoma" w:hAnsi="Tahoma" w:cs="Tahoma"/>
          <w:sz w:val="22"/>
          <w:szCs w:val="22"/>
        </w:rPr>
      </w:pPr>
    </w:p>
    <w:p w:rsidR="00F709D0" w:rsidRPr="009F52D4" w:rsidRDefault="00F709D0" w:rsidP="00F709D0">
      <w:pPr>
        <w:pStyle w:val="Sangradetextonormal"/>
        <w:widowControl w:val="0"/>
        <w:numPr>
          <w:ilvl w:val="0"/>
          <w:numId w:val="1"/>
        </w:numPr>
        <w:suppressAutoHyphens/>
        <w:spacing w:after="0"/>
        <w:ind w:left="567" w:hanging="567"/>
        <w:jc w:val="both"/>
        <w:rPr>
          <w:rFonts w:ascii="Tahoma" w:hAnsi="Tahoma" w:cs="Tahoma"/>
          <w:sz w:val="22"/>
          <w:szCs w:val="22"/>
        </w:rPr>
      </w:pPr>
      <w:r w:rsidRPr="009F52D4">
        <w:rPr>
          <w:rFonts w:ascii="Tahoma" w:hAnsi="Tahoma" w:cs="Tahoma"/>
          <w:sz w:val="22"/>
          <w:szCs w:val="22"/>
        </w:rPr>
        <w:t>Sin perjuicio de lo anterior, y considerando que la Entidad no cumplió con los requerimientos realizados por este Tribunal, a fin que remita documentación e información para la evaluación del presente expediente, deberá comunicarse de esta situación a la Oficina de Control Institucional de la Entidad o la dependencia administrativa que haga sus veces; para su conocimiento y fines pertinentes.</w:t>
      </w:r>
    </w:p>
    <w:p w:rsidR="00F709D0" w:rsidRPr="00CB0B36" w:rsidRDefault="00F709D0" w:rsidP="00F709D0">
      <w:pPr>
        <w:pStyle w:val="Sangradetextonormal"/>
        <w:widowControl w:val="0"/>
        <w:suppressAutoHyphens/>
        <w:spacing w:after="0"/>
        <w:ind w:left="567"/>
        <w:jc w:val="both"/>
        <w:rPr>
          <w:rFonts w:ascii="Tahoma" w:hAnsi="Tahoma" w:cs="Tahoma"/>
          <w:sz w:val="22"/>
          <w:szCs w:val="22"/>
        </w:rPr>
      </w:pPr>
    </w:p>
    <w:p w:rsidR="00F709D0" w:rsidRDefault="00F709D0" w:rsidP="00F709D0">
      <w:pPr>
        <w:tabs>
          <w:tab w:val="left" w:pos="3544"/>
          <w:tab w:val="left" w:pos="7230"/>
          <w:tab w:val="left" w:pos="8505"/>
        </w:tabs>
        <w:ind w:right="-1" w:firstLine="454"/>
        <w:jc w:val="both"/>
        <w:rPr>
          <w:rFonts w:ascii="Tahoma" w:eastAsiaTheme="minorHAnsi" w:hAnsi="Tahoma" w:cs="Tahoma"/>
          <w:color w:val="000000"/>
          <w:sz w:val="22"/>
          <w:szCs w:val="22"/>
        </w:rPr>
      </w:pPr>
      <w:r w:rsidRPr="00BC0DA0">
        <w:rPr>
          <w:rFonts w:ascii="Tahoma" w:hAnsi="Tahoma" w:cs="Tahoma"/>
          <w:sz w:val="22"/>
          <w:szCs w:val="22"/>
        </w:rPr>
        <w:t xml:space="preserve">Por estos fundamentos, </w:t>
      </w:r>
      <w:r w:rsidRPr="00BC0DA0">
        <w:rPr>
          <w:rFonts w:ascii="Tahoma" w:hAnsi="Tahoma" w:cs="Tahoma"/>
          <w:color w:val="000000"/>
          <w:sz w:val="22"/>
          <w:szCs w:val="22"/>
        </w:rPr>
        <w:t>de conformidad con el inf</w:t>
      </w:r>
      <w:r w:rsidRPr="00BC0DA0">
        <w:rPr>
          <w:rFonts w:ascii="Tahoma" w:eastAsia="Calibri" w:hAnsi="Tahoma" w:cs="Tahoma"/>
          <w:color w:val="000000"/>
          <w:sz w:val="22"/>
          <w:szCs w:val="22"/>
        </w:rPr>
        <w:t xml:space="preserve">orme de la Vocal Ponente Dra. Ada Rosa Basulto Liewald y la intervención de los Señores Vocales </w:t>
      </w:r>
      <w:r w:rsidRPr="00BC0DA0">
        <w:rPr>
          <w:rFonts w:ascii="Tahoma" w:eastAsiaTheme="minorHAnsi" w:hAnsi="Tahoma" w:cs="Tahoma"/>
          <w:color w:val="000000"/>
          <w:sz w:val="22"/>
          <w:szCs w:val="22"/>
        </w:rPr>
        <w:t xml:space="preserve">Dr. Carlos Vicente Navas Rondón y </w:t>
      </w:r>
      <w:r w:rsidRPr="00BC0DA0">
        <w:rPr>
          <w:rFonts w:ascii="Tahoma" w:eastAsia="Calibri" w:hAnsi="Tahoma" w:cs="Tahoma"/>
          <w:color w:val="000000"/>
          <w:sz w:val="22"/>
          <w:szCs w:val="22"/>
        </w:rPr>
        <w:t xml:space="preserve">Dra. Janette Elke Ramírez Maynetto; </w:t>
      </w:r>
      <w:r w:rsidRPr="00BC0DA0">
        <w:rPr>
          <w:rFonts w:ascii="Tahoma" w:eastAsiaTheme="minorHAnsi" w:hAnsi="Tahoma" w:cs="Tahoma"/>
          <w:color w:val="000000"/>
          <w:sz w:val="22"/>
          <w:szCs w:val="22"/>
        </w:rPr>
        <w:t>atendiendo a la reconformación de la Primera Sala del Trib</w:t>
      </w:r>
      <w:r>
        <w:rPr>
          <w:rFonts w:ascii="Tahoma" w:eastAsiaTheme="minorHAnsi" w:hAnsi="Tahoma" w:cs="Tahoma"/>
          <w:color w:val="000000"/>
          <w:sz w:val="22"/>
          <w:szCs w:val="22"/>
        </w:rPr>
        <w:t>unal de Contrataciones</w:t>
      </w:r>
      <w:r w:rsidRPr="00BC0DA0">
        <w:rPr>
          <w:rFonts w:ascii="Tahoma" w:eastAsiaTheme="minorHAnsi" w:hAnsi="Tahoma" w:cs="Tahoma"/>
          <w:color w:val="000000"/>
          <w:sz w:val="22"/>
          <w:szCs w:val="22"/>
        </w:rPr>
        <w:t xml:space="preserve"> del Estado, según lo dispuesto en la Resolución № 103-2011-OSCE/PRE, expedida el 15 de febrero de 2011; y, en ejercicio de las facultades conferidas en los artículos 51 y 63 de la Ley de Contrataciones del Estado, aprobada por Decreto Legislativo № 1017, y los artículos 17 y 18 del Reglamento de Organización y Funciones del OSCE, aprobado por Decreto Supremo № 006-2009-EF, analizados los antecedentes y luego de agotado el debate</w:t>
      </w:r>
      <w:r>
        <w:rPr>
          <w:rFonts w:ascii="Tahoma" w:eastAsiaTheme="minorHAnsi" w:hAnsi="Tahoma" w:cs="Tahoma"/>
          <w:color w:val="000000"/>
          <w:sz w:val="22"/>
          <w:szCs w:val="22"/>
        </w:rPr>
        <w:t xml:space="preserve"> correspondiente, por unanimidad</w:t>
      </w:r>
    </w:p>
    <w:p w:rsidR="00F709D0" w:rsidRPr="00CB0B36" w:rsidRDefault="00F709D0" w:rsidP="00F709D0">
      <w:pPr>
        <w:tabs>
          <w:tab w:val="left" w:pos="3544"/>
          <w:tab w:val="left" w:pos="7230"/>
          <w:tab w:val="left" w:pos="8505"/>
        </w:tabs>
        <w:ind w:right="-486" w:firstLine="454"/>
        <w:jc w:val="both"/>
        <w:rPr>
          <w:rFonts w:ascii="Tahoma" w:hAnsi="Tahoma" w:cs="Tahoma"/>
          <w:sz w:val="22"/>
          <w:szCs w:val="22"/>
        </w:rPr>
      </w:pPr>
    </w:p>
    <w:p w:rsidR="00F709D0" w:rsidRPr="00CB0B36" w:rsidRDefault="00F709D0" w:rsidP="00F709D0">
      <w:pPr>
        <w:tabs>
          <w:tab w:val="num" w:pos="360"/>
          <w:tab w:val="left" w:pos="3544"/>
          <w:tab w:val="left" w:pos="7230"/>
          <w:tab w:val="left" w:pos="8505"/>
        </w:tabs>
        <w:ind w:left="-180" w:right="-486" w:firstLine="180"/>
        <w:jc w:val="both"/>
        <w:rPr>
          <w:rFonts w:ascii="Tahoma" w:hAnsi="Tahoma" w:cs="Tahoma"/>
          <w:b/>
          <w:shadow/>
          <w:sz w:val="22"/>
          <w:szCs w:val="22"/>
        </w:rPr>
      </w:pPr>
      <w:r w:rsidRPr="00CB0B36">
        <w:rPr>
          <w:rFonts w:ascii="Tahoma" w:hAnsi="Tahoma" w:cs="Tahoma"/>
          <w:b/>
          <w:shadow/>
          <w:sz w:val="22"/>
          <w:szCs w:val="22"/>
        </w:rPr>
        <w:t>LA SALA RESUELVE:</w:t>
      </w:r>
    </w:p>
    <w:p w:rsidR="00F709D0" w:rsidRPr="00CB0B36" w:rsidRDefault="00F709D0" w:rsidP="00F709D0">
      <w:pPr>
        <w:tabs>
          <w:tab w:val="num" w:pos="360"/>
          <w:tab w:val="left" w:pos="3544"/>
          <w:tab w:val="left" w:pos="7230"/>
          <w:tab w:val="left" w:pos="8505"/>
        </w:tabs>
        <w:ind w:left="-180" w:right="-486" w:firstLine="180"/>
        <w:jc w:val="both"/>
        <w:rPr>
          <w:rFonts w:ascii="Tahoma" w:hAnsi="Tahoma" w:cs="Tahoma"/>
          <w:b/>
          <w:shadow/>
          <w:sz w:val="22"/>
          <w:szCs w:val="22"/>
        </w:rPr>
      </w:pPr>
    </w:p>
    <w:p w:rsidR="00F709D0" w:rsidRDefault="00F709D0" w:rsidP="00F709D0">
      <w:pPr>
        <w:pStyle w:val="Prrafodelista"/>
        <w:numPr>
          <w:ilvl w:val="0"/>
          <w:numId w:val="10"/>
        </w:numPr>
        <w:tabs>
          <w:tab w:val="clear" w:pos="720"/>
        </w:tabs>
        <w:ind w:left="540" w:hanging="540"/>
        <w:contextualSpacing/>
        <w:jc w:val="both"/>
        <w:rPr>
          <w:rFonts w:ascii="Tahoma" w:hAnsi="Tahoma" w:cs="Tahoma"/>
          <w:sz w:val="22"/>
          <w:szCs w:val="22"/>
        </w:rPr>
      </w:pPr>
      <w:r w:rsidRPr="00C45DF3">
        <w:rPr>
          <w:rFonts w:ascii="Tahoma" w:hAnsi="Tahoma" w:cs="Tahoma"/>
          <w:sz w:val="22"/>
          <w:szCs w:val="22"/>
        </w:rPr>
        <w:t xml:space="preserve">Declarar infundado el recurso de apelación interpuesto por la empresa </w:t>
      </w:r>
      <w:r>
        <w:rPr>
          <w:rFonts w:ascii="Tahoma" w:hAnsi="Tahoma" w:cs="Tahoma"/>
          <w:color w:val="000000"/>
          <w:sz w:val="22"/>
          <w:szCs w:val="22"/>
        </w:rPr>
        <w:t>CORPORACION VALTAKS SCRL</w:t>
      </w:r>
      <w:r w:rsidRPr="00C45DF3">
        <w:rPr>
          <w:rFonts w:ascii="Tahoma" w:hAnsi="Tahoma" w:cs="Tahoma"/>
          <w:sz w:val="22"/>
          <w:szCs w:val="22"/>
        </w:rPr>
        <w:t xml:space="preserve"> contra el otorgamiento de la Buena </w:t>
      </w:r>
      <w:r>
        <w:rPr>
          <w:rFonts w:ascii="Tahoma" w:hAnsi="Tahoma" w:cs="Tahoma"/>
          <w:sz w:val="22"/>
          <w:szCs w:val="22"/>
        </w:rPr>
        <w:t>Pro del ítem Nº 52</w:t>
      </w:r>
      <w:r w:rsidRPr="00C45DF3">
        <w:rPr>
          <w:rFonts w:ascii="Tahoma" w:hAnsi="Tahoma" w:cs="Tahoma"/>
          <w:sz w:val="22"/>
          <w:szCs w:val="22"/>
        </w:rPr>
        <w:t xml:space="preserve"> de la </w:t>
      </w:r>
      <w:r w:rsidRPr="007E0F4C">
        <w:rPr>
          <w:rFonts w:ascii="Tahoma" w:hAnsi="Tahoma" w:cs="Tahoma"/>
          <w:sz w:val="22"/>
          <w:szCs w:val="22"/>
        </w:rPr>
        <w:t>Licit</w:t>
      </w:r>
      <w:r>
        <w:rPr>
          <w:rFonts w:ascii="Tahoma" w:hAnsi="Tahoma" w:cs="Tahoma"/>
          <w:sz w:val="22"/>
          <w:szCs w:val="22"/>
        </w:rPr>
        <w:t>ación Pública Nº 004-2010-INSN,</w:t>
      </w:r>
      <w:r w:rsidRPr="007E0F4C">
        <w:rPr>
          <w:rFonts w:ascii="Tahoma" w:hAnsi="Tahoma" w:cs="Tahoma"/>
          <w:sz w:val="22"/>
          <w:szCs w:val="22"/>
        </w:rPr>
        <w:t xml:space="preserve"> para la “</w:t>
      </w:r>
      <w:r>
        <w:rPr>
          <w:rFonts w:ascii="Tahoma" w:hAnsi="Tahoma" w:cs="Tahoma"/>
          <w:sz w:val="22"/>
          <w:szCs w:val="22"/>
        </w:rPr>
        <w:t>Adquisición de material médico quirúrgico y hospitalario para los servicios asistenciales del INSN</w:t>
      </w:r>
      <w:r w:rsidRPr="007E0F4C">
        <w:rPr>
          <w:rFonts w:ascii="Tahoma" w:hAnsi="Tahoma" w:cs="Tahoma"/>
          <w:sz w:val="22"/>
          <w:szCs w:val="22"/>
        </w:rPr>
        <w:t>”</w:t>
      </w:r>
      <w:r>
        <w:rPr>
          <w:rFonts w:ascii="Tahoma" w:hAnsi="Tahoma" w:cs="Tahoma"/>
          <w:sz w:val="22"/>
          <w:szCs w:val="22"/>
        </w:rPr>
        <w:t>, por los</w:t>
      </w:r>
      <w:r w:rsidRPr="00C45DF3">
        <w:rPr>
          <w:rFonts w:ascii="Tahoma" w:hAnsi="Tahoma" w:cs="Tahoma"/>
          <w:sz w:val="22"/>
          <w:szCs w:val="22"/>
        </w:rPr>
        <w:t xml:space="preserve"> fundamentos expuestos.</w:t>
      </w:r>
    </w:p>
    <w:p w:rsidR="00F709D0" w:rsidRDefault="00F709D0" w:rsidP="00F709D0">
      <w:pPr>
        <w:pStyle w:val="Prrafodelista"/>
        <w:ind w:left="540"/>
        <w:contextualSpacing/>
        <w:jc w:val="both"/>
        <w:rPr>
          <w:rFonts w:ascii="Tahoma" w:hAnsi="Tahoma" w:cs="Tahoma"/>
          <w:sz w:val="22"/>
          <w:szCs w:val="22"/>
        </w:rPr>
      </w:pPr>
    </w:p>
    <w:p w:rsidR="00F709D0" w:rsidRDefault="00F709D0" w:rsidP="00F709D0">
      <w:pPr>
        <w:pStyle w:val="Prrafodelista"/>
        <w:numPr>
          <w:ilvl w:val="0"/>
          <w:numId w:val="10"/>
        </w:numPr>
        <w:tabs>
          <w:tab w:val="clear" w:pos="720"/>
        </w:tabs>
        <w:ind w:left="540" w:hanging="540"/>
        <w:contextualSpacing/>
        <w:jc w:val="both"/>
        <w:rPr>
          <w:rFonts w:ascii="Tahoma" w:hAnsi="Tahoma" w:cs="Tahoma"/>
          <w:sz w:val="22"/>
          <w:szCs w:val="22"/>
        </w:rPr>
      </w:pPr>
      <w:r w:rsidRPr="00A113D0">
        <w:rPr>
          <w:rFonts w:ascii="Tahoma" w:hAnsi="Tahoma" w:cs="Tahoma"/>
          <w:sz w:val="22"/>
          <w:szCs w:val="22"/>
        </w:rPr>
        <w:t xml:space="preserve">Confirmar el otorgamiento de la buena pro del ítem </w:t>
      </w:r>
      <w:r>
        <w:rPr>
          <w:rFonts w:ascii="Tahoma" w:hAnsi="Tahoma" w:cs="Tahoma"/>
          <w:sz w:val="22"/>
          <w:szCs w:val="22"/>
        </w:rPr>
        <w:t>Nº 52</w:t>
      </w:r>
      <w:r w:rsidRPr="00C45DF3">
        <w:rPr>
          <w:rFonts w:ascii="Tahoma" w:hAnsi="Tahoma" w:cs="Tahoma"/>
          <w:sz w:val="22"/>
          <w:szCs w:val="22"/>
        </w:rPr>
        <w:t xml:space="preserve"> de la </w:t>
      </w:r>
      <w:r w:rsidRPr="007E0F4C">
        <w:rPr>
          <w:rFonts w:ascii="Tahoma" w:hAnsi="Tahoma" w:cs="Tahoma"/>
          <w:sz w:val="22"/>
          <w:szCs w:val="22"/>
        </w:rPr>
        <w:t>Licit</w:t>
      </w:r>
      <w:r>
        <w:rPr>
          <w:rFonts w:ascii="Tahoma" w:hAnsi="Tahoma" w:cs="Tahoma"/>
          <w:sz w:val="22"/>
          <w:szCs w:val="22"/>
        </w:rPr>
        <w:t>ación Pública Nº 004-2010-INSN,</w:t>
      </w:r>
      <w:r w:rsidRPr="007E0F4C">
        <w:rPr>
          <w:rFonts w:ascii="Tahoma" w:hAnsi="Tahoma" w:cs="Tahoma"/>
          <w:sz w:val="22"/>
          <w:szCs w:val="22"/>
        </w:rPr>
        <w:t xml:space="preserve"> para la “</w:t>
      </w:r>
      <w:r>
        <w:rPr>
          <w:rFonts w:ascii="Tahoma" w:hAnsi="Tahoma" w:cs="Tahoma"/>
          <w:sz w:val="22"/>
          <w:szCs w:val="22"/>
        </w:rPr>
        <w:t>Adquisición de material médico quirúrgico y hospitalario para los servicios asistenciales del INSN</w:t>
      </w:r>
      <w:r w:rsidRPr="007E0F4C">
        <w:rPr>
          <w:rFonts w:ascii="Tahoma" w:hAnsi="Tahoma" w:cs="Tahoma"/>
          <w:sz w:val="22"/>
          <w:szCs w:val="22"/>
        </w:rPr>
        <w:t>”</w:t>
      </w:r>
      <w:r>
        <w:rPr>
          <w:rFonts w:ascii="Tahoma" w:hAnsi="Tahoma" w:cs="Tahoma"/>
          <w:sz w:val="22"/>
          <w:szCs w:val="22"/>
        </w:rPr>
        <w:t xml:space="preserve"> otorgada a favor de la empresa </w:t>
      </w:r>
      <w:r>
        <w:rPr>
          <w:rFonts w:ascii="Tahoma" w:hAnsi="Tahoma" w:cs="Tahoma"/>
          <w:color w:val="000000"/>
          <w:sz w:val="22"/>
          <w:szCs w:val="22"/>
        </w:rPr>
        <w:t>W MEDIC OFFICE E.I.R.L.</w:t>
      </w:r>
      <w:r w:rsidRPr="00A113D0">
        <w:rPr>
          <w:rFonts w:ascii="Tahoma" w:hAnsi="Tahoma" w:cs="Tahoma"/>
          <w:color w:val="000000"/>
          <w:sz w:val="22"/>
          <w:szCs w:val="22"/>
        </w:rPr>
        <w:t xml:space="preserve">, </w:t>
      </w:r>
      <w:r w:rsidRPr="00A113D0">
        <w:rPr>
          <w:rFonts w:ascii="Tahoma" w:hAnsi="Tahoma" w:cs="Tahoma"/>
          <w:sz w:val="22"/>
          <w:szCs w:val="22"/>
        </w:rPr>
        <w:t>por los fundamentos expuestos.</w:t>
      </w:r>
    </w:p>
    <w:p w:rsidR="00F709D0" w:rsidRPr="00AB4E79" w:rsidRDefault="00F709D0" w:rsidP="00F709D0">
      <w:pPr>
        <w:pStyle w:val="Prrafodelista"/>
        <w:rPr>
          <w:rFonts w:ascii="Tahoma" w:hAnsi="Tahoma" w:cs="Tahoma"/>
          <w:sz w:val="22"/>
          <w:szCs w:val="22"/>
        </w:rPr>
      </w:pPr>
    </w:p>
    <w:p w:rsidR="00F709D0" w:rsidRDefault="00F709D0" w:rsidP="00F709D0">
      <w:pPr>
        <w:pStyle w:val="Prrafodelista"/>
        <w:numPr>
          <w:ilvl w:val="0"/>
          <w:numId w:val="10"/>
        </w:numPr>
        <w:tabs>
          <w:tab w:val="clear" w:pos="720"/>
        </w:tabs>
        <w:ind w:left="540" w:hanging="540"/>
        <w:contextualSpacing/>
        <w:jc w:val="both"/>
        <w:rPr>
          <w:rFonts w:ascii="Tahoma" w:hAnsi="Tahoma" w:cs="Tahoma"/>
          <w:sz w:val="22"/>
          <w:szCs w:val="22"/>
        </w:rPr>
      </w:pPr>
      <w:r w:rsidRPr="00AB4E79">
        <w:rPr>
          <w:rFonts w:ascii="Tahoma" w:hAnsi="Tahoma" w:cs="Tahoma"/>
          <w:sz w:val="22"/>
          <w:szCs w:val="22"/>
        </w:rPr>
        <w:t>Ejecutar la garantía presentada por la empresa</w:t>
      </w:r>
      <w:r>
        <w:rPr>
          <w:rFonts w:ascii="Tahoma" w:hAnsi="Tahoma" w:cs="Tahoma"/>
          <w:sz w:val="22"/>
          <w:szCs w:val="22"/>
        </w:rPr>
        <w:t xml:space="preserve"> </w:t>
      </w:r>
      <w:r>
        <w:rPr>
          <w:rFonts w:ascii="Tahoma" w:hAnsi="Tahoma" w:cs="Tahoma"/>
          <w:color w:val="000000"/>
          <w:sz w:val="22"/>
          <w:szCs w:val="22"/>
        </w:rPr>
        <w:t>CORPORACION VALTAKS SCRL</w:t>
      </w:r>
      <w:r w:rsidRPr="00AB4E79">
        <w:rPr>
          <w:rFonts w:ascii="Tahoma" w:hAnsi="Tahoma" w:cs="Tahoma"/>
          <w:sz w:val="22"/>
          <w:szCs w:val="22"/>
        </w:rPr>
        <w:t xml:space="preserve"> por la interposición de su recurso de apelación.</w:t>
      </w:r>
    </w:p>
    <w:p w:rsidR="00F709D0" w:rsidRPr="00644F88" w:rsidRDefault="00F709D0" w:rsidP="00F709D0">
      <w:pPr>
        <w:pStyle w:val="Prrafodelista"/>
        <w:rPr>
          <w:rFonts w:ascii="Tahoma" w:hAnsi="Tahoma" w:cs="Tahoma"/>
          <w:sz w:val="22"/>
          <w:szCs w:val="22"/>
        </w:rPr>
      </w:pPr>
    </w:p>
    <w:p w:rsidR="00F709D0" w:rsidRDefault="00F709D0" w:rsidP="00F709D0">
      <w:pPr>
        <w:pStyle w:val="Prrafodelista"/>
        <w:numPr>
          <w:ilvl w:val="0"/>
          <w:numId w:val="10"/>
        </w:numPr>
        <w:tabs>
          <w:tab w:val="clear" w:pos="720"/>
        </w:tabs>
        <w:ind w:left="540" w:hanging="540"/>
        <w:contextualSpacing/>
        <w:jc w:val="both"/>
        <w:rPr>
          <w:rFonts w:ascii="Tahoma" w:hAnsi="Tahoma" w:cs="Tahoma"/>
          <w:sz w:val="22"/>
          <w:szCs w:val="22"/>
        </w:rPr>
      </w:pPr>
      <w:r>
        <w:rPr>
          <w:rFonts w:ascii="Tahoma" w:hAnsi="Tahoma" w:cs="Tahoma"/>
          <w:sz w:val="22"/>
          <w:szCs w:val="22"/>
        </w:rPr>
        <w:t>Comunicarse la presente resolución</w:t>
      </w:r>
      <w:r w:rsidRPr="009F52D4">
        <w:rPr>
          <w:rFonts w:ascii="Tahoma" w:hAnsi="Tahoma" w:cs="Tahoma"/>
          <w:sz w:val="22"/>
          <w:szCs w:val="22"/>
        </w:rPr>
        <w:t xml:space="preserve"> a la Oficina de Control Institucional de la Entidad o la dependencia administrativa que haga sus veces; </w:t>
      </w:r>
      <w:r>
        <w:rPr>
          <w:rFonts w:ascii="Tahoma" w:hAnsi="Tahoma" w:cs="Tahoma"/>
          <w:sz w:val="22"/>
          <w:szCs w:val="22"/>
        </w:rPr>
        <w:t>en virtud a lo señalado en el fundamento 32.</w:t>
      </w:r>
    </w:p>
    <w:p w:rsidR="00F709D0" w:rsidRPr="00AB4E79" w:rsidRDefault="00F709D0" w:rsidP="00F709D0">
      <w:pPr>
        <w:pStyle w:val="Prrafodelista"/>
        <w:rPr>
          <w:rFonts w:ascii="Tahoma" w:hAnsi="Tahoma" w:cs="Tahoma"/>
          <w:sz w:val="22"/>
          <w:szCs w:val="22"/>
        </w:rPr>
      </w:pPr>
    </w:p>
    <w:p w:rsidR="00F709D0" w:rsidRDefault="00F709D0" w:rsidP="00F709D0">
      <w:pPr>
        <w:pStyle w:val="Prrafodelista"/>
        <w:numPr>
          <w:ilvl w:val="0"/>
          <w:numId w:val="10"/>
        </w:numPr>
        <w:tabs>
          <w:tab w:val="clear" w:pos="720"/>
        </w:tabs>
        <w:ind w:left="540" w:hanging="540"/>
        <w:contextualSpacing/>
        <w:jc w:val="both"/>
        <w:rPr>
          <w:rFonts w:ascii="Tahoma" w:hAnsi="Tahoma" w:cs="Tahoma"/>
          <w:sz w:val="22"/>
          <w:szCs w:val="22"/>
        </w:rPr>
      </w:pPr>
      <w:r w:rsidRPr="00AB4E79">
        <w:rPr>
          <w:rFonts w:ascii="Tahoma" w:hAnsi="Tahoma" w:cs="Tahoma"/>
          <w:sz w:val="22"/>
          <w:szCs w:val="22"/>
        </w:rPr>
        <w:lastRenderedPageBreak/>
        <w:t>Disponer la devolución de los antecedentes administrativos a la Entidad, la cual deberá recabarlos en la mesa de partes del Tribunal dentro del plazo de 30 días calendario de emitida la presente resolución; debiendo autorizar por escrito a la persona que realizará  dicha diligencia. En caso contrario, los antecedentes administrativos serán enviados al Archivo Central de OSCE para su custodia por un plazo de seis (6) meses, luego del cual serán remitidos al Archivo General de la Nación, bajo responsabilidad.</w:t>
      </w:r>
    </w:p>
    <w:p w:rsidR="00F709D0" w:rsidRPr="00AB4E79" w:rsidRDefault="00F709D0" w:rsidP="00F709D0">
      <w:pPr>
        <w:pStyle w:val="Prrafodelista"/>
        <w:rPr>
          <w:rFonts w:ascii="Tahoma" w:hAnsi="Tahoma" w:cs="Tahoma"/>
          <w:sz w:val="22"/>
          <w:szCs w:val="22"/>
        </w:rPr>
      </w:pPr>
    </w:p>
    <w:p w:rsidR="00F709D0" w:rsidRPr="00AB4E79" w:rsidRDefault="00F709D0" w:rsidP="00F709D0">
      <w:pPr>
        <w:pStyle w:val="Prrafodelista"/>
        <w:numPr>
          <w:ilvl w:val="0"/>
          <w:numId w:val="10"/>
        </w:numPr>
        <w:tabs>
          <w:tab w:val="clear" w:pos="720"/>
        </w:tabs>
        <w:ind w:left="540" w:hanging="540"/>
        <w:contextualSpacing/>
        <w:jc w:val="both"/>
        <w:rPr>
          <w:rFonts w:ascii="Tahoma" w:hAnsi="Tahoma" w:cs="Tahoma"/>
          <w:sz w:val="22"/>
          <w:szCs w:val="22"/>
        </w:rPr>
      </w:pPr>
      <w:r w:rsidRPr="00AB4E79">
        <w:rPr>
          <w:rFonts w:ascii="Tahoma" w:hAnsi="Tahoma" w:cs="Tahoma"/>
          <w:sz w:val="22"/>
          <w:szCs w:val="22"/>
        </w:rPr>
        <w:t>Dar por agotada la vía administrativa.</w:t>
      </w:r>
    </w:p>
    <w:p w:rsidR="00F709D0" w:rsidRPr="00CB0B36" w:rsidRDefault="00F709D0" w:rsidP="00F709D0">
      <w:pPr>
        <w:pStyle w:val="Textoindependiente21"/>
        <w:tabs>
          <w:tab w:val="left" w:pos="3544"/>
          <w:tab w:val="left" w:pos="7230"/>
          <w:tab w:val="left" w:pos="8505"/>
        </w:tabs>
        <w:ind w:right="-486"/>
        <w:rPr>
          <w:rFonts w:cs="Tahoma"/>
          <w:szCs w:val="22"/>
        </w:rPr>
      </w:pPr>
    </w:p>
    <w:p w:rsidR="00F709D0" w:rsidRPr="00CB0B36" w:rsidRDefault="00F709D0" w:rsidP="00F709D0">
      <w:pPr>
        <w:pStyle w:val="Textoindependiente21"/>
        <w:tabs>
          <w:tab w:val="left" w:pos="3544"/>
          <w:tab w:val="left" w:pos="7230"/>
          <w:tab w:val="left" w:pos="8505"/>
        </w:tabs>
        <w:ind w:left="567" w:right="-486"/>
        <w:rPr>
          <w:rFonts w:cs="Tahoma"/>
          <w:szCs w:val="22"/>
        </w:rPr>
      </w:pPr>
      <w:r w:rsidRPr="00CB0B36">
        <w:rPr>
          <w:rFonts w:cs="Tahoma"/>
          <w:szCs w:val="22"/>
        </w:rPr>
        <w:t>Regístrese, comuníquese y publíquese.</w:t>
      </w:r>
    </w:p>
    <w:p w:rsidR="00F709D0" w:rsidRDefault="00F709D0" w:rsidP="00F709D0">
      <w:pPr>
        <w:tabs>
          <w:tab w:val="left" w:pos="3544"/>
          <w:tab w:val="left" w:pos="7230"/>
          <w:tab w:val="left" w:pos="8505"/>
        </w:tabs>
        <w:ind w:right="-486"/>
        <w:jc w:val="center"/>
        <w:rPr>
          <w:rFonts w:ascii="Tahoma" w:hAnsi="Tahoma" w:cs="Tahoma"/>
          <w:b/>
          <w:sz w:val="22"/>
          <w:szCs w:val="22"/>
        </w:rPr>
      </w:pPr>
    </w:p>
    <w:p w:rsidR="00F709D0" w:rsidRDefault="00F709D0" w:rsidP="00F709D0">
      <w:pPr>
        <w:tabs>
          <w:tab w:val="left" w:pos="3544"/>
          <w:tab w:val="left" w:pos="7230"/>
          <w:tab w:val="left" w:pos="8505"/>
        </w:tabs>
        <w:ind w:right="-486"/>
        <w:jc w:val="center"/>
        <w:rPr>
          <w:rFonts w:ascii="Tahoma" w:hAnsi="Tahoma" w:cs="Tahoma"/>
          <w:b/>
          <w:sz w:val="22"/>
          <w:szCs w:val="22"/>
        </w:rPr>
      </w:pPr>
    </w:p>
    <w:p w:rsidR="00F709D0" w:rsidRDefault="00F709D0" w:rsidP="00F709D0">
      <w:pPr>
        <w:tabs>
          <w:tab w:val="left" w:pos="3544"/>
          <w:tab w:val="left" w:pos="7230"/>
          <w:tab w:val="left" w:pos="8505"/>
        </w:tabs>
        <w:ind w:right="-486"/>
        <w:jc w:val="center"/>
        <w:rPr>
          <w:rFonts w:ascii="Tahoma" w:hAnsi="Tahoma" w:cs="Tahoma"/>
          <w:b/>
          <w:sz w:val="22"/>
          <w:szCs w:val="22"/>
        </w:rPr>
      </w:pPr>
    </w:p>
    <w:p w:rsidR="00F709D0" w:rsidRPr="00CB0B36" w:rsidRDefault="00F709D0" w:rsidP="00F709D0">
      <w:pPr>
        <w:tabs>
          <w:tab w:val="left" w:pos="3544"/>
          <w:tab w:val="left" w:pos="7230"/>
          <w:tab w:val="left" w:pos="8505"/>
        </w:tabs>
        <w:ind w:right="-486"/>
        <w:jc w:val="center"/>
        <w:rPr>
          <w:rFonts w:ascii="Tahoma" w:hAnsi="Tahoma" w:cs="Tahoma"/>
          <w:b/>
          <w:sz w:val="22"/>
          <w:szCs w:val="22"/>
        </w:rPr>
      </w:pPr>
    </w:p>
    <w:p w:rsidR="00F709D0" w:rsidRDefault="00F709D0" w:rsidP="00F709D0">
      <w:pPr>
        <w:tabs>
          <w:tab w:val="left" w:pos="3544"/>
          <w:tab w:val="left" w:pos="7230"/>
          <w:tab w:val="left" w:pos="8505"/>
        </w:tabs>
        <w:ind w:right="-486"/>
        <w:jc w:val="center"/>
        <w:rPr>
          <w:rFonts w:ascii="Tahoma" w:hAnsi="Tahoma" w:cs="Tahoma"/>
          <w:b/>
          <w:sz w:val="22"/>
          <w:szCs w:val="22"/>
        </w:rPr>
      </w:pPr>
    </w:p>
    <w:p w:rsidR="00F709D0" w:rsidRPr="00CB0B36" w:rsidRDefault="00F709D0" w:rsidP="00F709D0">
      <w:pPr>
        <w:tabs>
          <w:tab w:val="left" w:pos="3544"/>
          <w:tab w:val="left" w:pos="7230"/>
          <w:tab w:val="left" w:pos="8505"/>
        </w:tabs>
        <w:ind w:right="-486"/>
        <w:jc w:val="center"/>
        <w:rPr>
          <w:rFonts w:ascii="Tahoma" w:hAnsi="Tahoma" w:cs="Tahoma"/>
          <w:b/>
          <w:sz w:val="22"/>
          <w:szCs w:val="22"/>
        </w:rPr>
      </w:pPr>
    </w:p>
    <w:p w:rsidR="00F709D0" w:rsidRPr="00CB0B36" w:rsidRDefault="00F709D0" w:rsidP="00F709D0">
      <w:pPr>
        <w:tabs>
          <w:tab w:val="left" w:pos="3544"/>
          <w:tab w:val="left" w:pos="7230"/>
          <w:tab w:val="left" w:pos="8505"/>
        </w:tabs>
        <w:ind w:right="-486"/>
        <w:jc w:val="center"/>
        <w:rPr>
          <w:rFonts w:ascii="Tahoma" w:hAnsi="Tahoma" w:cs="Tahoma"/>
          <w:b/>
          <w:sz w:val="22"/>
          <w:szCs w:val="22"/>
        </w:rPr>
      </w:pPr>
    </w:p>
    <w:p w:rsidR="00F709D0" w:rsidRPr="00CB0B36" w:rsidRDefault="00F709D0" w:rsidP="00F709D0">
      <w:pPr>
        <w:tabs>
          <w:tab w:val="left" w:pos="3544"/>
          <w:tab w:val="left" w:pos="7230"/>
          <w:tab w:val="left" w:pos="8505"/>
        </w:tabs>
        <w:ind w:right="-486"/>
        <w:jc w:val="center"/>
        <w:rPr>
          <w:rFonts w:ascii="Tahoma" w:hAnsi="Tahoma" w:cs="Tahoma"/>
          <w:b/>
          <w:shadow/>
          <w:sz w:val="22"/>
          <w:szCs w:val="22"/>
          <w:lang w:val="pt-BR"/>
        </w:rPr>
      </w:pPr>
      <w:r w:rsidRPr="00CB0B36">
        <w:rPr>
          <w:rFonts w:ascii="Tahoma" w:hAnsi="Tahoma" w:cs="Tahoma"/>
          <w:b/>
          <w:shadow/>
          <w:sz w:val="22"/>
          <w:szCs w:val="22"/>
          <w:lang w:val="pt-BR"/>
        </w:rPr>
        <w:t>PRESIDENTE</w:t>
      </w:r>
    </w:p>
    <w:p w:rsidR="00F709D0" w:rsidRPr="00CB0B36" w:rsidRDefault="00F709D0" w:rsidP="00F709D0">
      <w:pPr>
        <w:tabs>
          <w:tab w:val="left" w:pos="3544"/>
          <w:tab w:val="left" w:pos="7230"/>
          <w:tab w:val="left" w:pos="8505"/>
        </w:tabs>
        <w:ind w:right="-486" w:firstLine="708"/>
        <w:rPr>
          <w:rFonts w:ascii="Tahoma" w:hAnsi="Tahoma" w:cs="Tahoma"/>
          <w:b/>
          <w:shadow/>
          <w:sz w:val="22"/>
          <w:szCs w:val="22"/>
          <w:lang w:val="pt-BR"/>
        </w:rPr>
      </w:pPr>
    </w:p>
    <w:p w:rsidR="00F709D0" w:rsidRPr="00CB0B36" w:rsidRDefault="00F709D0" w:rsidP="00F709D0">
      <w:pPr>
        <w:tabs>
          <w:tab w:val="left" w:pos="3544"/>
          <w:tab w:val="left" w:pos="7230"/>
          <w:tab w:val="left" w:pos="8505"/>
        </w:tabs>
        <w:ind w:right="-486" w:firstLine="708"/>
        <w:rPr>
          <w:rFonts w:ascii="Tahoma" w:hAnsi="Tahoma" w:cs="Tahoma"/>
          <w:shadow/>
          <w:sz w:val="22"/>
          <w:szCs w:val="22"/>
          <w:lang w:val="pt-BR"/>
        </w:rPr>
      </w:pPr>
      <w:r>
        <w:rPr>
          <w:rFonts w:ascii="Tahoma" w:hAnsi="Tahoma" w:cs="Tahoma"/>
          <w:b/>
          <w:shadow/>
          <w:sz w:val="22"/>
          <w:szCs w:val="22"/>
          <w:lang w:val="pt-BR"/>
        </w:rPr>
        <w:t xml:space="preserve">VOCAL          </w:t>
      </w:r>
      <w:r w:rsidRPr="00CB0B36">
        <w:rPr>
          <w:rFonts w:ascii="Tahoma" w:hAnsi="Tahoma" w:cs="Tahoma"/>
          <w:b/>
          <w:shadow/>
          <w:sz w:val="22"/>
          <w:szCs w:val="22"/>
          <w:lang w:val="pt-BR"/>
        </w:rPr>
        <w:t xml:space="preserve">                                                                                    V</w:t>
      </w:r>
      <w:r>
        <w:rPr>
          <w:rFonts w:ascii="Tahoma" w:hAnsi="Tahoma" w:cs="Tahoma"/>
          <w:b/>
          <w:shadow/>
          <w:sz w:val="22"/>
          <w:szCs w:val="22"/>
          <w:lang w:val="pt-BR"/>
        </w:rPr>
        <w:t xml:space="preserve">OCAL                  </w:t>
      </w:r>
      <w:r w:rsidRPr="00CB0B36">
        <w:rPr>
          <w:rFonts w:ascii="Tahoma" w:hAnsi="Tahoma" w:cs="Tahoma"/>
          <w:b/>
          <w:shadow/>
          <w:sz w:val="22"/>
          <w:szCs w:val="22"/>
          <w:lang w:val="pt-BR"/>
        </w:rPr>
        <w:t xml:space="preserve">                                                 </w:t>
      </w:r>
    </w:p>
    <w:p w:rsidR="00F709D0" w:rsidRDefault="00F709D0" w:rsidP="00F709D0">
      <w:pPr>
        <w:jc w:val="both"/>
        <w:rPr>
          <w:rFonts w:ascii="Tahoma" w:hAnsi="Tahoma" w:cs="Tahoma"/>
          <w:sz w:val="22"/>
          <w:szCs w:val="22"/>
          <w:lang w:val="pt-BR"/>
        </w:rPr>
      </w:pPr>
      <w:r w:rsidRPr="00CB0B36">
        <w:rPr>
          <w:rFonts w:ascii="Tahoma" w:hAnsi="Tahoma" w:cs="Tahoma"/>
          <w:sz w:val="22"/>
          <w:szCs w:val="22"/>
          <w:lang w:val="pt-BR"/>
        </w:rPr>
        <w:t>ss.</w:t>
      </w:r>
    </w:p>
    <w:p w:rsidR="00F709D0" w:rsidRDefault="00F709D0" w:rsidP="00F709D0">
      <w:pPr>
        <w:jc w:val="both"/>
        <w:rPr>
          <w:rFonts w:ascii="Tahoma" w:hAnsi="Tahoma" w:cs="Tahoma"/>
          <w:sz w:val="22"/>
          <w:szCs w:val="22"/>
          <w:lang w:val="pt-BR"/>
        </w:rPr>
      </w:pPr>
      <w:r>
        <w:rPr>
          <w:rFonts w:ascii="Tahoma" w:hAnsi="Tahoma" w:cs="Tahoma"/>
          <w:sz w:val="22"/>
          <w:szCs w:val="22"/>
          <w:lang w:val="pt-BR"/>
        </w:rPr>
        <w:t>Navas Rondón.</w:t>
      </w:r>
    </w:p>
    <w:p w:rsidR="00F709D0" w:rsidRPr="00CB0B36" w:rsidRDefault="00F709D0" w:rsidP="00F709D0">
      <w:pPr>
        <w:jc w:val="both"/>
        <w:rPr>
          <w:rFonts w:ascii="Tahoma" w:hAnsi="Tahoma" w:cs="Tahoma"/>
          <w:sz w:val="22"/>
          <w:szCs w:val="22"/>
          <w:lang w:val="pt-BR"/>
        </w:rPr>
      </w:pPr>
      <w:r>
        <w:rPr>
          <w:rFonts w:ascii="Tahoma" w:hAnsi="Tahoma" w:cs="Tahoma"/>
          <w:sz w:val="22"/>
          <w:szCs w:val="22"/>
          <w:lang w:val="pt-BR"/>
        </w:rPr>
        <w:t>Ramírez Maynetto.</w:t>
      </w:r>
    </w:p>
    <w:p w:rsidR="00F709D0" w:rsidRDefault="00F709D0" w:rsidP="00F709D0">
      <w:pPr>
        <w:pStyle w:val="Textoindependiente21"/>
        <w:tabs>
          <w:tab w:val="left" w:pos="5250"/>
        </w:tabs>
        <w:rPr>
          <w:rFonts w:cs="Tahoma"/>
          <w:szCs w:val="22"/>
          <w:lang w:val="pt-BR"/>
        </w:rPr>
      </w:pPr>
      <w:r w:rsidRPr="00CB0B36">
        <w:rPr>
          <w:rFonts w:cs="Tahoma"/>
          <w:szCs w:val="22"/>
          <w:lang w:val="pt-BR"/>
        </w:rPr>
        <w:t>Basulto Liewald.</w:t>
      </w:r>
    </w:p>
    <w:p w:rsidR="00F709D0" w:rsidRDefault="00F709D0" w:rsidP="00F709D0"/>
    <w:p w:rsidR="008B738B" w:rsidRDefault="00E70CAF"/>
    <w:sectPr w:rsidR="008B738B" w:rsidSect="009C04B8">
      <w:headerReference w:type="default" r:id="rId7"/>
      <w:footerReference w:type="default" r:id="rId8"/>
      <w:pgSz w:w="11906" w:h="16838"/>
      <w:pgMar w:top="3402"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0CAF" w:rsidRDefault="00E70CAF" w:rsidP="00F709D0">
      <w:r>
        <w:separator/>
      </w:r>
    </w:p>
  </w:endnote>
  <w:endnote w:type="continuationSeparator" w:id="1">
    <w:p w:rsidR="00E70CAF" w:rsidRDefault="00E70CAF" w:rsidP="00F709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12172"/>
      <w:docPartObj>
        <w:docPartGallery w:val="Page Numbers (Bottom of Page)"/>
        <w:docPartUnique/>
      </w:docPartObj>
    </w:sdtPr>
    <w:sdtContent>
      <w:sdt>
        <w:sdtPr>
          <w:id w:val="216747541"/>
          <w:docPartObj>
            <w:docPartGallery w:val="Page Numbers (Top of Page)"/>
            <w:docPartUnique/>
          </w:docPartObj>
        </w:sdtPr>
        <w:sdtContent>
          <w:p w:rsidR="009C04B8" w:rsidRDefault="00241FCA">
            <w:pPr>
              <w:pStyle w:val="Piedepgina"/>
              <w:jc w:val="center"/>
            </w:pPr>
            <w:r>
              <w:t xml:space="preserve">Página </w:t>
            </w:r>
            <w:r w:rsidR="0044714F">
              <w:rPr>
                <w:b/>
                <w:sz w:val="24"/>
                <w:szCs w:val="24"/>
              </w:rPr>
              <w:fldChar w:fldCharType="begin"/>
            </w:r>
            <w:r>
              <w:rPr>
                <w:b/>
              </w:rPr>
              <w:instrText>PAGE</w:instrText>
            </w:r>
            <w:r w:rsidR="0044714F">
              <w:rPr>
                <w:b/>
                <w:sz w:val="24"/>
                <w:szCs w:val="24"/>
              </w:rPr>
              <w:fldChar w:fldCharType="separate"/>
            </w:r>
            <w:r w:rsidR="00525CA1">
              <w:rPr>
                <w:b/>
                <w:noProof/>
              </w:rPr>
              <w:t>1</w:t>
            </w:r>
            <w:r w:rsidR="0044714F">
              <w:rPr>
                <w:b/>
                <w:sz w:val="24"/>
                <w:szCs w:val="24"/>
              </w:rPr>
              <w:fldChar w:fldCharType="end"/>
            </w:r>
            <w:r>
              <w:t xml:space="preserve"> de </w:t>
            </w:r>
            <w:r w:rsidR="0044714F">
              <w:rPr>
                <w:b/>
                <w:sz w:val="24"/>
                <w:szCs w:val="24"/>
              </w:rPr>
              <w:fldChar w:fldCharType="begin"/>
            </w:r>
            <w:r>
              <w:rPr>
                <w:b/>
              </w:rPr>
              <w:instrText>NUMPAGES</w:instrText>
            </w:r>
            <w:r w:rsidR="0044714F">
              <w:rPr>
                <w:b/>
                <w:sz w:val="24"/>
                <w:szCs w:val="24"/>
              </w:rPr>
              <w:fldChar w:fldCharType="separate"/>
            </w:r>
            <w:r w:rsidR="00525CA1">
              <w:rPr>
                <w:b/>
                <w:noProof/>
              </w:rPr>
              <w:t>17</w:t>
            </w:r>
            <w:r w:rsidR="0044714F">
              <w:rPr>
                <w:b/>
                <w:sz w:val="24"/>
                <w:szCs w:val="24"/>
              </w:rPr>
              <w:fldChar w:fldCharType="end"/>
            </w:r>
          </w:p>
        </w:sdtContent>
      </w:sdt>
    </w:sdtContent>
  </w:sdt>
  <w:p w:rsidR="009C04B8" w:rsidRDefault="00E70CAF">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0CAF" w:rsidRDefault="00E70CAF" w:rsidP="00F709D0">
      <w:r>
        <w:separator/>
      </w:r>
    </w:p>
  </w:footnote>
  <w:footnote w:type="continuationSeparator" w:id="1">
    <w:p w:rsidR="00E70CAF" w:rsidRDefault="00E70CAF" w:rsidP="00F709D0">
      <w:r>
        <w:continuationSeparator/>
      </w:r>
    </w:p>
  </w:footnote>
  <w:footnote w:id="2">
    <w:p w:rsidR="00F709D0" w:rsidRPr="00E1323B" w:rsidRDefault="00F709D0" w:rsidP="00F709D0">
      <w:pPr>
        <w:pStyle w:val="Textonotapie"/>
      </w:pPr>
      <w:r>
        <w:rPr>
          <w:rStyle w:val="Refdenotaalpie"/>
        </w:rPr>
        <w:footnoteRef/>
      </w:r>
      <w:r>
        <w:t xml:space="preserve"> Véase las Resoluciones Nº 2254/2008.TC-S4 y 2710-2008-TC-S4.</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CA1" w:rsidRDefault="00525CA1" w:rsidP="00525CA1">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525CA1" w:rsidRDefault="00525CA1" w:rsidP="00525CA1">
    <w:pPr>
      <w:pStyle w:val="Encabezado"/>
      <w:rPr>
        <w:noProof/>
      </w:rPr>
    </w:pPr>
  </w:p>
  <w:p w:rsidR="00525CA1" w:rsidRDefault="00525CA1" w:rsidP="00525CA1">
    <w:pPr>
      <w:pStyle w:val="Encabezado"/>
      <w:jc w:val="center"/>
      <w:rPr>
        <w:rFonts w:ascii="Monotype Corsiva" w:hAnsi="Monotype Corsiva"/>
        <w:b/>
        <w:sz w:val="44"/>
        <w:szCs w:val="44"/>
      </w:rPr>
    </w:pPr>
  </w:p>
  <w:p w:rsidR="00525CA1" w:rsidRDefault="00525CA1" w:rsidP="00525CA1">
    <w:pPr>
      <w:pStyle w:val="Encabezado"/>
      <w:jc w:val="center"/>
      <w:rPr>
        <w:rFonts w:ascii="Calibri" w:hAnsi="Calibri"/>
        <w:sz w:val="22"/>
        <w:szCs w:val="22"/>
      </w:rPr>
    </w:pPr>
    <w:r>
      <w:rPr>
        <w:rFonts w:ascii="Monotype Corsiva" w:hAnsi="Monotype Corsiva"/>
        <w:b/>
        <w:sz w:val="44"/>
        <w:szCs w:val="44"/>
      </w:rPr>
      <w:t xml:space="preserve">Resolución Nº   </w:t>
    </w:r>
    <w:r>
      <w:rPr>
        <w:rFonts w:ascii="Tahoma" w:hAnsi="Tahoma" w:cs="Tahoma"/>
        <w:b/>
        <w:sz w:val="44"/>
        <w:szCs w:val="44"/>
      </w:rPr>
      <w:t>1204-2011-TC-S1</w:t>
    </w:r>
  </w:p>
  <w:p w:rsidR="00525CA1" w:rsidRDefault="00525CA1">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A0411"/>
    <w:multiLevelType w:val="hybridMultilevel"/>
    <w:tmpl w:val="6480FD92"/>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DAE08FA"/>
    <w:multiLevelType w:val="hybridMultilevel"/>
    <w:tmpl w:val="AECEB126"/>
    <w:lvl w:ilvl="0" w:tplc="37E26810">
      <w:numFmt w:val="bullet"/>
      <w:lvlText w:val="-"/>
      <w:lvlJc w:val="left"/>
      <w:pPr>
        <w:ind w:left="927" w:hanging="360"/>
      </w:pPr>
      <w:rPr>
        <w:rFonts w:ascii="Times New Roman" w:eastAsia="Times New Roman" w:hAnsi="Times New Roman" w:cs="Times New Roman" w:hint="default"/>
      </w:rPr>
    </w:lvl>
    <w:lvl w:ilvl="1" w:tplc="0C0A0003" w:tentative="1">
      <w:start w:val="1"/>
      <w:numFmt w:val="bullet"/>
      <w:lvlText w:val="o"/>
      <w:lvlJc w:val="left"/>
      <w:pPr>
        <w:ind w:left="1647" w:hanging="360"/>
      </w:pPr>
      <w:rPr>
        <w:rFonts w:ascii="Courier New" w:hAnsi="Courier New" w:cs="Courier New" w:hint="default"/>
      </w:rPr>
    </w:lvl>
    <w:lvl w:ilvl="2" w:tplc="0C0A0005" w:tentative="1">
      <w:start w:val="1"/>
      <w:numFmt w:val="bullet"/>
      <w:lvlText w:val=""/>
      <w:lvlJc w:val="left"/>
      <w:pPr>
        <w:ind w:left="2367" w:hanging="360"/>
      </w:pPr>
      <w:rPr>
        <w:rFonts w:ascii="Wingdings" w:hAnsi="Wingdings" w:hint="default"/>
      </w:rPr>
    </w:lvl>
    <w:lvl w:ilvl="3" w:tplc="0C0A0001" w:tentative="1">
      <w:start w:val="1"/>
      <w:numFmt w:val="bullet"/>
      <w:lvlText w:val=""/>
      <w:lvlJc w:val="left"/>
      <w:pPr>
        <w:ind w:left="3087" w:hanging="360"/>
      </w:pPr>
      <w:rPr>
        <w:rFonts w:ascii="Symbol" w:hAnsi="Symbol" w:hint="default"/>
      </w:rPr>
    </w:lvl>
    <w:lvl w:ilvl="4" w:tplc="0C0A0003" w:tentative="1">
      <w:start w:val="1"/>
      <w:numFmt w:val="bullet"/>
      <w:lvlText w:val="o"/>
      <w:lvlJc w:val="left"/>
      <w:pPr>
        <w:ind w:left="3807" w:hanging="360"/>
      </w:pPr>
      <w:rPr>
        <w:rFonts w:ascii="Courier New" w:hAnsi="Courier New" w:cs="Courier New" w:hint="default"/>
      </w:rPr>
    </w:lvl>
    <w:lvl w:ilvl="5" w:tplc="0C0A0005" w:tentative="1">
      <w:start w:val="1"/>
      <w:numFmt w:val="bullet"/>
      <w:lvlText w:val=""/>
      <w:lvlJc w:val="left"/>
      <w:pPr>
        <w:ind w:left="4527" w:hanging="360"/>
      </w:pPr>
      <w:rPr>
        <w:rFonts w:ascii="Wingdings" w:hAnsi="Wingdings" w:hint="default"/>
      </w:rPr>
    </w:lvl>
    <w:lvl w:ilvl="6" w:tplc="0C0A0001" w:tentative="1">
      <w:start w:val="1"/>
      <w:numFmt w:val="bullet"/>
      <w:lvlText w:val=""/>
      <w:lvlJc w:val="left"/>
      <w:pPr>
        <w:ind w:left="5247" w:hanging="360"/>
      </w:pPr>
      <w:rPr>
        <w:rFonts w:ascii="Symbol" w:hAnsi="Symbol" w:hint="default"/>
      </w:rPr>
    </w:lvl>
    <w:lvl w:ilvl="7" w:tplc="0C0A0003" w:tentative="1">
      <w:start w:val="1"/>
      <w:numFmt w:val="bullet"/>
      <w:lvlText w:val="o"/>
      <w:lvlJc w:val="left"/>
      <w:pPr>
        <w:ind w:left="5967" w:hanging="360"/>
      </w:pPr>
      <w:rPr>
        <w:rFonts w:ascii="Courier New" w:hAnsi="Courier New" w:cs="Courier New" w:hint="default"/>
      </w:rPr>
    </w:lvl>
    <w:lvl w:ilvl="8" w:tplc="0C0A0005" w:tentative="1">
      <w:start w:val="1"/>
      <w:numFmt w:val="bullet"/>
      <w:lvlText w:val=""/>
      <w:lvlJc w:val="left"/>
      <w:pPr>
        <w:ind w:left="6687" w:hanging="360"/>
      </w:pPr>
      <w:rPr>
        <w:rFonts w:ascii="Wingdings" w:hAnsi="Wingdings" w:hint="default"/>
      </w:rPr>
    </w:lvl>
  </w:abstractNum>
  <w:abstractNum w:abstractNumId="2">
    <w:nsid w:val="15F17DB2"/>
    <w:multiLevelType w:val="hybridMultilevel"/>
    <w:tmpl w:val="49F0EA04"/>
    <w:lvl w:ilvl="0" w:tplc="C08A2646">
      <w:start w:val="1"/>
      <w:numFmt w:val="decimal"/>
      <w:lvlText w:val="%1."/>
      <w:lvlJc w:val="left"/>
      <w:pPr>
        <w:tabs>
          <w:tab w:val="num" w:pos="720"/>
        </w:tabs>
        <w:ind w:left="720" w:hanging="360"/>
      </w:pPr>
      <w:rPr>
        <w:rFonts w:ascii="Bookman Old Style" w:hAnsi="Bookman Old Style" w:cs="Tahoma" w:hint="default"/>
        <w:b/>
        <w:i w:val="0"/>
        <w:sz w:val="23"/>
        <w:szCs w:val="23"/>
      </w:rPr>
    </w:lvl>
    <w:lvl w:ilvl="1" w:tplc="280A0019">
      <w:start w:val="1"/>
      <w:numFmt w:val="lowerLetter"/>
      <w:lvlText w:val="%2."/>
      <w:lvlJc w:val="left"/>
      <w:pPr>
        <w:tabs>
          <w:tab w:val="num" w:pos="1440"/>
        </w:tabs>
        <w:ind w:left="1440" w:hanging="360"/>
      </w:pPr>
      <w:rPr>
        <w:rFonts w:cs="Times New Roman"/>
      </w:rPr>
    </w:lvl>
    <w:lvl w:ilvl="2" w:tplc="280A001B" w:tentative="1">
      <w:start w:val="1"/>
      <w:numFmt w:val="lowerRoman"/>
      <w:lvlText w:val="%3."/>
      <w:lvlJc w:val="right"/>
      <w:pPr>
        <w:tabs>
          <w:tab w:val="num" w:pos="2160"/>
        </w:tabs>
        <w:ind w:left="2160" w:hanging="180"/>
      </w:pPr>
      <w:rPr>
        <w:rFonts w:cs="Times New Roman"/>
      </w:rPr>
    </w:lvl>
    <w:lvl w:ilvl="3" w:tplc="280A000F" w:tentative="1">
      <w:start w:val="1"/>
      <w:numFmt w:val="decimal"/>
      <w:lvlText w:val="%4."/>
      <w:lvlJc w:val="left"/>
      <w:pPr>
        <w:tabs>
          <w:tab w:val="num" w:pos="2880"/>
        </w:tabs>
        <w:ind w:left="2880" w:hanging="360"/>
      </w:pPr>
      <w:rPr>
        <w:rFonts w:cs="Times New Roman"/>
      </w:rPr>
    </w:lvl>
    <w:lvl w:ilvl="4" w:tplc="280A0019" w:tentative="1">
      <w:start w:val="1"/>
      <w:numFmt w:val="lowerLetter"/>
      <w:lvlText w:val="%5."/>
      <w:lvlJc w:val="left"/>
      <w:pPr>
        <w:tabs>
          <w:tab w:val="num" w:pos="3600"/>
        </w:tabs>
        <w:ind w:left="3600" w:hanging="360"/>
      </w:pPr>
      <w:rPr>
        <w:rFonts w:cs="Times New Roman"/>
      </w:rPr>
    </w:lvl>
    <w:lvl w:ilvl="5" w:tplc="280A001B" w:tentative="1">
      <w:start w:val="1"/>
      <w:numFmt w:val="lowerRoman"/>
      <w:lvlText w:val="%6."/>
      <w:lvlJc w:val="right"/>
      <w:pPr>
        <w:tabs>
          <w:tab w:val="num" w:pos="4320"/>
        </w:tabs>
        <w:ind w:left="4320" w:hanging="180"/>
      </w:pPr>
      <w:rPr>
        <w:rFonts w:cs="Times New Roman"/>
      </w:rPr>
    </w:lvl>
    <w:lvl w:ilvl="6" w:tplc="280A000F" w:tentative="1">
      <w:start w:val="1"/>
      <w:numFmt w:val="decimal"/>
      <w:lvlText w:val="%7."/>
      <w:lvlJc w:val="left"/>
      <w:pPr>
        <w:tabs>
          <w:tab w:val="num" w:pos="5040"/>
        </w:tabs>
        <w:ind w:left="5040" w:hanging="360"/>
      </w:pPr>
      <w:rPr>
        <w:rFonts w:cs="Times New Roman"/>
      </w:rPr>
    </w:lvl>
    <w:lvl w:ilvl="7" w:tplc="280A0019" w:tentative="1">
      <w:start w:val="1"/>
      <w:numFmt w:val="lowerLetter"/>
      <w:lvlText w:val="%8."/>
      <w:lvlJc w:val="left"/>
      <w:pPr>
        <w:tabs>
          <w:tab w:val="num" w:pos="5760"/>
        </w:tabs>
        <w:ind w:left="5760" w:hanging="360"/>
      </w:pPr>
      <w:rPr>
        <w:rFonts w:cs="Times New Roman"/>
      </w:rPr>
    </w:lvl>
    <w:lvl w:ilvl="8" w:tplc="280A001B" w:tentative="1">
      <w:start w:val="1"/>
      <w:numFmt w:val="lowerRoman"/>
      <w:lvlText w:val="%9."/>
      <w:lvlJc w:val="right"/>
      <w:pPr>
        <w:tabs>
          <w:tab w:val="num" w:pos="6480"/>
        </w:tabs>
        <w:ind w:left="6480" w:hanging="180"/>
      </w:pPr>
      <w:rPr>
        <w:rFonts w:cs="Times New Roman"/>
      </w:rPr>
    </w:lvl>
  </w:abstractNum>
  <w:abstractNum w:abstractNumId="3">
    <w:nsid w:val="22222A83"/>
    <w:multiLevelType w:val="hybridMultilevel"/>
    <w:tmpl w:val="E5F44CE0"/>
    <w:lvl w:ilvl="0" w:tplc="0C0A001B">
      <w:start w:val="1"/>
      <w:numFmt w:val="low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320103D3"/>
    <w:multiLevelType w:val="hybridMultilevel"/>
    <w:tmpl w:val="DC30D3B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32581937"/>
    <w:multiLevelType w:val="hybridMultilevel"/>
    <w:tmpl w:val="227A21C8"/>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32B74BE8"/>
    <w:multiLevelType w:val="hybridMultilevel"/>
    <w:tmpl w:val="76C833E4"/>
    <w:lvl w:ilvl="0" w:tplc="0C0A0019">
      <w:start w:val="1"/>
      <w:numFmt w:val="lowerLetter"/>
      <w:lvlText w:val="%1."/>
      <w:lvlJc w:val="left"/>
      <w:pPr>
        <w:tabs>
          <w:tab w:val="num" w:pos="1440"/>
        </w:tabs>
        <w:ind w:left="144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7">
    <w:nsid w:val="46765062"/>
    <w:multiLevelType w:val="hybridMultilevel"/>
    <w:tmpl w:val="E5F44CE0"/>
    <w:lvl w:ilvl="0" w:tplc="0C0A001B">
      <w:start w:val="1"/>
      <w:numFmt w:val="low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48174C6F"/>
    <w:multiLevelType w:val="hybridMultilevel"/>
    <w:tmpl w:val="66542C8E"/>
    <w:lvl w:ilvl="0" w:tplc="C52A4FD0">
      <w:start w:val="7"/>
      <w:numFmt w:val="lowerLetter"/>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4A8108A6"/>
    <w:multiLevelType w:val="hybridMultilevel"/>
    <w:tmpl w:val="EE76D394"/>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0">
    <w:nsid w:val="56A255A9"/>
    <w:multiLevelType w:val="hybridMultilevel"/>
    <w:tmpl w:val="EC6A58A8"/>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1">
    <w:nsid w:val="5DBA025C"/>
    <w:multiLevelType w:val="singleLevel"/>
    <w:tmpl w:val="A6941128"/>
    <w:lvl w:ilvl="0">
      <w:start w:val="1"/>
      <w:numFmt w:val="decimal"/>
      <w:lvlText w:val="%1."/>
      <w:legacy w:legacy="1" w:legacySpace="0" w:legacyIndent="360"/>
      <w:lvlJc w:val="left"/>
      <w:rPr>
        <w:rFonts w:ascii="Tahoma" w:hAnsi="Tahoma" w:cs="Tahoma" w:hint="default"/>
        <w:b/>
      </w:rPr>
    </w:lvl>
  </w:abstractNum>
  <w:abstractNum w:abstractNumId="12">
    <w:nsid w:val="68861F7D"/>
    <w:multiLevelType w:val="hybridMultilevel"/>
    <w:tmpl w:val="4A52BA94"/>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3">
    <w:nsid w:val="6F1B2ABC"/>
    <w:multiLevelType w:val="hybridMultilevel"/>
    <w:tmpl w:val="646A9C48"/>
    <w:lvl w:ilvl="0" w:tplc="0C0A0019">
      <w:start w:val="1"/>
      <w:numFmt w:val="lowerLetter"/>
      <w:lvlText w:val="%1."/>
      <w:lvlJc w:val="left"/>
      <w:pPr>
        <w:ind w:left="1260" w:hanging="360"/>
      </w:pPr>
    </w:lvl>
    <w:lvl w:ilvl="1" w:tplc="0C0A0019" w:tentative="1">
      <w:start w:val="1"/>
      <w:numFmt w:val="lowerLetter"/>
      <w:lvlText w:val="%2."/>
      <w:lvlJc w:val="left"/>
      <w:pPr>
        <w:ind w:left="1980" w:hanging="360"/>
      </w:pPr>
    </w:lvl>
    <w:lvl w:ilvl="2" w:tplc="0C0A001B" w:tentative="1">
      <w:start w:val="1"/>
      <w:numFmt w:val="lowerRoman"/>
      <w:lvlText w:val="%3."/>
      <w:lvlJc w:val="right"/>
      <w:pPr>
        <w:ind w:left="2700" w:hanging="180"/>
      </w:pPr>
    </w:lvl>
    <w:lvl w:ilvl="3" w:tplc="0C0A000F" w:tentative="1">
      <w:start w:val="1"/>
      <w:numFmt w:val="decimal"/>
      <w:lvlText w:val="%4."/>
      <w:lvlJc w:val="left"/>
      <w:pPr>
        <w:ind w:left="3420" w:hanging="360"/>
      </w:pPr>
    </w:lvl>
    <w:lvl w:ilvl="4" w:tplc="0C0A0019" w:tentative="1">
      <w:start w:val="1"/>
      <w:numFmt w:val="lowerLetter"/>
      <w:lvlText w:val="%5."/>
      <w:lvlJc w:val="left"/>
      <w:pPr>
        <w:ind w:left="4140" w:hanging="360"/>
      </w:pPr>
    </w:lvl>
    <w:lvl w:ilvl="5" w:tplc="0C0A001B" w:tentative="1">
      <w:start w:val="1"/>
      <w:numFmt w:val="lowerRoman"/>
      <w:lvlText w:val="%6."/>
      <w:lvlJc w:val="right"/>
      <w:pPr>
        <w:ind w:left="4860" w:hanging="180"/>
      </w:pPr>
    </w:lvl>
    <w:lvl w:ilvl="6" w:tplc="0C0A000F" w:tentative="1">
      <w:start w:val="1"/>
      <w:numFmt w:val="decimal"/>
      <w:lvlText w:val="%7."/>
      <w:lvlJc w:val="left"/>
      <w:pPr>
        <w:ind w:left="5580" w:hanging="360"/>
      </w:pPr>
    </w:lvl>
    <w:lvl w:ilvl="7" w:tplc="0C0A0019" w:tentative="1">
      <w:start w:val="1"/>
      <w:numFmt w:val="lowerLetter"/>
      <w:lvlText w:val="%8."/>
      <w:lvlJc w:val="left"/>
      <w:pPr>
        <w:ind w:left="6300" w:hanging="360"/>
      </w:pPr>
    </w:lvl>
    <w:lvl w:ilvl="8" w:tplc="0C0A001B" w:tentative="1">
      <w:start w:val="1"/>
      <w:numFmt w:val="lowerRoman"/>
      <w:lvlText w:val="%9."/>
      <w:lvlJc w:val="right"/>
      <w:pPr>
        <w:ind w:left="7020" w:hanging="180"/>
      </w:pPr>
    </w:lvl>
  </w:abstractNum>
  <w:abstractNum w:abstractNumId="14">
    <w:nsid w:val="6F4E4283"/>
    <w:multiLevelType w:val="hybridMultilevel"/>
    <w:tmpl w:val="5B1CDCE8"/>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72352AB3"/>
    <w:multiLevelType w:val="hybridMultilevel"/>
    <w:tmpl w:val="ABBE0F94"/>
    <w:lvl w:ilvl="0" w:tplc="FBC8EA4E">
      <w:start w:val="1"/>
      <w:numFmt w:val="decimal"/>
      <w:lvlText w:val="%1."/>
      <w:lvlJc w:val="left"/>
      <w:pPr>
        <w:tabs>
          <w:tab w:val="num" w:pos="360"/>
        </w:tabs>
        <w:ind w:left="360" w:hanging="360"/>
      </w:pPr>
      <w:rPr>
        <w:rFonts w:hint="default"/>
        <w:b/>
      </w:rPr>
    </w:lvl>
    <w:lvl w:ilvl="1" w:tplc="EFC877CA">
      <w:start w:val="1"/>
      <w:numFmt w:val="lowerRoman"/>
      <w:lvlText w:val="(%2)"/>
      <w:lvlJc w:val="left"/>
      <w:pPr>
        <w:tabs>
          <w:tab w:val="num" w:pos="1260"/>
        </w:tabs>
        <w:ind w:left="1260" w:hanging="720"/>
      </w:pPr>
      <w:rPr>
        <w:rFonts w:cs="Tahoma" w:hint="default"/>
        <w:b/>
      </w:rPr>
    </w:lvl>
    <w:lvl w:ilvl="2" w:tplc="0C0A001B" w:tentative="1">
      <w:start w:val="1"/>
      <w:numFmt w:val="lowerRoman"/>
      <w:lvlText w:val="%3."/>
      <w:lvlJc w:val="right"/>
      <w:pPr>
        <w:tabs>
          <w:tab w:val="num" w:pos="1620"/>
        </w:tabs>
        <w:ind w:left="1620" w:hanging="180"/>
      </w:pPr>
    </w:lvl>
    <w:lvl w:ilvl="3" w:tplc="0C0A000F" w:tentative="1">
      <w:start w:val="1"/>
      <w:numFmt w:val="decimal"/>
      <w:lvlText w:val="%4."/>
      <w:lvlJc w:val="left"/>
      <w:pPr>
        <w:tabs>
          <w:tab w:val="num" w:pos="2340"/>
        </w:tabs>
        <w:ind w:left="2340" w:hanging="360"/>
      </w:pPr>
    </w:lvl>
    <w:lvl w:ilvl="4" w:tplc="0C0A0019" w:tentative="1">
      <w:start w:val="1"/>
      <w:numFmt w:val="lowerLetter"/>
      <w:lvlText w:val="%5."/>
      <w:lvlJc w:val="left"/>
      <w:pPr>
        <w:tabs>
          <w:tab w:val="num" w:pos="3060"/>
        </w:tabs>
        <w:ind w:left="3060" w:hanging="360"/>
      </w:pPr>
    </w:lvl>
    <w:lvl w:ilvl="5" w:tplc="0C0A001B" w:tentative="1">
      <w:start w:val="1"/>
      <w:numFmt w:val="lowerRoman"/>
      <w:lvlText w:val="%6."/>
      <w:lvlJc w:val="right"/>
      <w:pPr>
        <w:tabs>
          <w:tab w:val="num" w:pos="3780"/>
        </w:tabs>
        <w:ind w:left="3780" w:hanging="180"/>
      </w:pPr>
    </w:lvl>
    <w:lvl w:ilvl="6" w:tplc="0C0A000F" w:tentative="1">
      <w:start w:val="1"/>
      <w:numFmt w:val="decimal"/>
      <w:lvlText w:val="%7."/>
      <w:lvlJc w:val="left"/>
      <w:pPr>
        <w:tabs>
          <w:tab w:val="num" w:pos="4500"/>
        </w:tabs>
        <w:ind w:left="4500" w:hanging="360"/>
      </w:pPr>
    </w:lvl>
    <w:lvl w:ilvl="7" w:tplc="0C0A0019" w:tentative="1">
      <w:start w:val="1"/>
      <w:numFmt w:val="lowerLetter"/>
      <w:lvlText w:val="%8."/>
      <w:lvlJc w:val="left"/>
      <w:pPr>
        <w:tabs>
          <w:tab w:val="num" w:pos="5220"/>
        </w:tabs>
        <w:ind w:left="5220" w:hanging="360"/>
      </w:pPr>
    </w:lvl>
    <w:lvl w:ilvl="8" w:tplc="0C0A001B" w:tentative="1">
      <w:start w:val="1"/>
      <w:numFmt w:val="lowerRoman"/>
      <w:lvlText w:val="%9."/>
      <w:lvlJc w:val="right"/>
      <w:pPr>
        <w:tabs>
          <w:tab w:val="num" w:pos="5940"/>
        </w:tabs>
        <w:ind w:left="5940" w:hanging="180"/>
      </w:pPr>
    </w:lvl>
  </w:abstractNum>
  <w:num w:numId="1">
    <w:abstractNumId w:val="11"/>
  </w:num>
  <w:num w:numId="2">
    <w:abstractNumId w:val="15"/>
  </w:num>
  <w:num w:numId="3">
    <w:abstractNumId w:val="12"/>
  </w:num>
  <w:num w:numId="4">
    <w:abstractNumId w:val="10"/>
  </w:num>
  <w:num w:numId="5">
    <w:abstractNumId w:val="5"/>
  </w:num>
  <w:num w:numId="6">
    <w:abstractNumId w:val="13"/>
  </w:num>
  <w:num w:numId="7">
    <w:abstractNumId w:val="14"/>
  </w:num>
  <w:num w:numId="8">
    <w:abstractNumId w:val="6"/>
  </w:num>
  <w:num w:numId="9">
    <w:abstractNumId w:val="1"/>
  </w:num>
  <w:num w:numId="10">
    <w:abstractNumId w:val="2"/>
  </w:num>
  <w:num w:numId="11">
    <w:abstractNumId w:val="9"/>
  </w:num>
  <w:num w:numId="12">
    <w:abstractNumId w:val="0"/>
  </w:num>
  <w:num w:numId="13">
    <w:abstractNumId w:val="7"/>
  </w:num>
  <w:num w:numId="14">
    <w:abstractNumId w:val="4"/>
  </w:num>
  <w:num w:numId="15">
    <w:abstractNumId w:val="8"/>
  </w:num>
  <w:num w:numId="1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F709D0"/>
    <w:rsid w:val="001B5AE1"/>
    <w:rsid w:val="00241FCA"/>
    <w:rsid w:val="0044714F"/>
    <w:rsid w:val="00525CA1"/>
    <w:rsid w:val="005F0E2E"/>
    <w:rsid w:val="009042C5"/>
    <w:rsid w:val="00E70CAF"/>
    <w:rsid w:val="00F709D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09D0"/>
    <w:pPr>
      <w:spacing w:after="0"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709D0"/>
    <w:pPr>
      <w:widowControl w:val="0"/>
      <w:suppressAutoHyphens/>
      <w:jc w:val="both"/>
    </w:pPr>
    <w:rPr>
      <w:rFonts w:ascii="Tahoma" w:hAnsi="Tahoma"/>
      <w:sz w:val="22"/>
      <w:lang w:val="es-ES_tradnl"/>
    </w:rPr>
  </w:style>
  <w:style w:type="character" w:customStyle="1" w:styleId="TextoindependienteCar">
    <w:name w:val="Texto independiente Car"/>
    <w:basedOn w:val="Fuentedeprrafopredeter"/>
    <w:link w:val="Textoindependiente"/>
    <w:rsid w:val="00F709D0"/>
    <w:rPr>
      <w:rFonts w:ascii="Tahoma" w:eastAsia="Times New Roman" w:hAnsi="Tahoma" w:cs="Times New Roman"/>
      <w:szCs w:val="20"/>
      <w:lang w:val="es-ES_tradnl" w:eastAsia="es-ES"/>
    </w:rPr>
  </w:style>
  <w:style w:type="paragraph" w:customStyle="1" w:styleId="Textoindependiente21">
    <w:name w:val="Texto independiente 21"/>
    <w:basedOn w:val="Normal"/>
    <w:rsid w:val="00F709D0"/>
    <w:pPr>
      <w:jc w:val="both"/>
    </w:pPr>
    <w:rPr>
      <w:rFonts w:ascii="Tahoma" w:hAnsi="Tahoma"/>
      <w:sz w:val="22"/>
    </w:rPr>
  </w:style>
  <w:style w:type="paragraph" w:styleId="Textoindependiente3">
    <w:name w:val="Body Text 3"/>
    <w:basedOn w:val="Normal"/>
    <w:link w:val="Textoindependiente3Car"/>
    <w:rsid w:val="00F709D0"/>
    <w:pPr>
      <w:spacing w:after="120"/>
    </w:pPr>
    <w:rPr>
      <w:sz w:val="16"/>
      <w:szCs w:val="16"/>
      <w:lang w:val="es-PE"/>
    </w:rPr>
  </w:style>
  <w:style w:type="character" w:customStyle="1" w:styleId="Textoindependiente3Car">
    <w:name w:val="Texto independiente 3 Car"/>
    <w:basedOn w:val="Fuentedeprrafopredeter"/>
    <w:link w:val="Textoindependiente3"/>
    <w:rsid w:val="00F709D0"/>
    <w:rPr>
      <w:rFonts w:ascii="Times New Roman" w:eastAsia="Times New Roman" w:hAnsi="Times New Roman" w:cs="Times New Roman"/>
      <w:sz w:val="16"/>
      <w:szCs w:val="16"/>
      <w:lang w:val="es-PE" w:eastAsia="es-ES"/>
    </w:rPr>
  </w:style>
  <w:style w:type="paragraph" w:styleId="Textonotapie">
    <w:name w:val="footnote text"/>
    <w:aliases w:val=" Car,Car, Car2 Car Car Car Car Car, Car2 Car Car, Car2 Car Car Car Car Car Car, Car2 Car1 Car, Car Car Car, Car1 Car, Car2 Car, Car2, Car1,Car1 Car Car, Car4,Car Car Car,Car4,Texto nota pie1,Body Text,Car Car1, Car3,Ca, Car1 Car Car Car"/>
    <w:basedOn w:val="Normal"/>
    <w:link w:val="TextonotapieCar"/>
    <w:rsid w:val="00F709D0"/>
  </w:style>
  <w:style w:type="character" w:customStyle="1" w:styleId="TextonotapieCar">
    <w:name w:val="Texto nota pie Car"/>
    <w:aliases w:val=" Car Car,Car Car, Car2 Car Car Car Car Car Car1, Car2 Car Car Car, Car2 Car Car Car Car Car Car Car, Car2 Car1 Car Car, Car Car Car Car, Car1 Car Car, Car2 Car Car1, Car2 Car1, Car1 Car1,Car1 Car Car Car, Car4 Car,Car Car Car Car"/>
    <w:basedOn w:val="Fuentedeprrafopredeter"/>
    <w:link w:val="Textonotapie"/>
    <w:rsid w:val="00F709D0"/>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F709D0"/>
    <w:rPr>
      <w:vertAlign w:val="superscript"/>
    </w:rPr>
  </w:style>
  <w:style w:type="paragraph" w:styleId="Sangradetextonormal">
    <w:name w:val="Body Text Indent"/>
    <w:basedOn w:val="Normal"/>
    <w:link w:val="SangradetextonormalCar"/>
    <w:rsid w:val="00F709D0"/>
    <w:pPr>
      <w:spacing w:after="120"/>
      <w:ind w:left="283"/>
    </w:pPr>
  </w:style>
  <w:style w:type="character" w:customStyle="1" w:styleId="SangradetextonormalCar">
    <w:name w:val="Sangría de texto normal Car"/>
    <w:basedOn w:val="Fuentedeprrafopredeter"/>
    <w:link w:val="Sangradetextonormal"/>
    <w:rsid w:val="00F709D0"/>
    <w:rPr>
      <w:rFonts w:ascii="Times New Roman" w:eastAsia="Times New Roman" w:hAnsi="Times New Roman" w:cs="Times New Roman"/>
      <w:sz w:val="20"/>
      <w:szCs w:val="20"/>
      <w:lang w:eastAsia="es-ES"/>
    </w:rPr>
  </w:style>
  <w:style w:type="paragraph" w:styleId="Prrafodelista">
    <w:name w:val="List Paragraph"/>
    <w:basedOn w:val="Normal"/>
    <w:uiPriority w:val="34"/>
    <w:qFormat/>
    <w:rsid w:val="00F709D0"/>
    <w:pPr>
      <w:ind w:left="708"/>
    </w:pPr>
    <w:rPr>
      <w:lang w:eastAsia="es-PE"/>
    </w:rPr>
  </w:style>
  <w:style w:type="paragraph" w:customStyle="1" w:styleId="WW-Textosinformato">
    <w:name w:val="WW-Texto sin formato"/>
    <w:basedOn w:val="Normal"/>
    <w:rsid w:val="00F709D0"/>
    <w:pPr>
      <w:suppressAutoHyphens/>
    </w:pPr>
    <w:rPr>
      <w:rFonts w:ascii="Courier New" w:eastAsia="MS Mincho" w:hAnsi="Courier New"/>
      <w:lang w:val="es-PE"/>
    </w:rPr>
  </w:style>
  <w:style w:type="paragraph" w:styleId="Piedepgina">
    <w:name w:val="footer"/>
    <w:basedOn w:val="Normal"/>
    <w:link w:val="PiedepginaCar"/>
    <w:uiPriority w:val="99"/>
    <w:unhideWhenUsed/>
    <w:rsid w:val="00F709D0"/>
    <w:pPr>
      <w:tabs>
        <w:tab w:val="center" w:pos="4252"/>
        <w:tab w:val="right" w:pos="8504"/>
      </w:tabs>
    </w:pPr>
  </w:style>
  <w:style w:type="character" w:customStyle="1" w:styleId="PiedepginaCar">
    <w:name w:val="Pie de página Car"/>
    <w:basedOn w:val="Fuentedeprrafopredeter"/>
    <w:link w:val="Piedepgina"/>
    <w:uiPriority w:val="99"/>
    <w:rsid w:val="00F709D0"/>
    <w:rPr>
      <w:rFonts w:ascii="Times New Roman" w:eastAsia="Times New Roman" w:hAnsi="Times New Roman" w:cs="Times New Roman"/>
      <w:sz w:val="20"/>
      <w:szCs w:val="20"/>
      <w:lang w:eastAsia="es-ES"/>
    </w:rPr>
  </w:style>
  <w:style w:type="paragraph" w:styleId="Sangra2detindependiente">
    <w:name w:val="Body Text Indent 2"/>
    <w:basedOn w:val="Normal"/>
    <w:link w:val="Sangra2detindependienteCar"/>
    <w:uiPriority w:val="99"/>
    <w:semiHidden/>
    <w:unhideWhenUsed/>
    <w:rsid w:val="00F709D0"/>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F709D0"/>
    <w:rPr>
      <w:rFonts w:ascii="Times New Roman" w:eastAsia="Times New Roman" w:hAnsi="Times New Roman" w:cs="Times New Roman"/>
      <w:sz w:val="20"/>
      <w:szCs w:val="20"/>
      <w:lang w:eastAsia="es-ES"/>
    </w:rPr>
  </w:style>
  <w:style w:type="paragraph" w:customStyle="1" w:styleId="Prrafodelista1">
    <w:name w:val="Párrafo de lista1"/>
    <w:basedOn w:val="Normal"/>
    <w:rsid w:val="00F709D0"/>
    <w:pPr>
      <w:widowControl w:val="0"/>
      <w:suppressAutoHyphens/>
      <w:ind w:left="720"/>
      <w:contextualSpacing/>
    </w:pPr>
    <w:rPr>
      <w:rFonts w:eastAsia="Calibri"/>
      <w:sz w:val="24"/>
      <w:lang w:val="es-ES_tradnl"/>
    </w:rPr>
  </w:style>
  <w:style w:type="table" w:styleId="Tablaconcuadrcula">
    <w:name w:val="Table Grid"/>
    <w:basedOn w:val="Tablanormal"/>
    <w:uiPriority w:val="59"/>
    <w:rsid w:val="00F709D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WW-Sangra3detindependiente">
    <w:name w:val="WW-Sangría 3 de t. independiente"/>
    <w:basedOn w:val="Normal"/>
    <w:rsid w:val="00F709D0"/>
    <w:pPr>
      <w:widowControl w:val="0"/>
      <w:suppressAutoHyphens/>
      <w:ind w:left="426" w:firstLine="1"/>
      <w:jc w:val="both"/>
    </w:pPr>
    <w:rPr>
      <w:rFonts w:eastAsia="MS Mincho"/>
      <w:sz w:val="24"/>
      <w:szCs w:val="24"/>
      <w:lang w:val="es-ES_tradnl" w:eastAsia="es-PE"/>
    </w:rPr>
  </w:style>
  <w:style w:type="paragraph" w:styleId="Encabezado">
    <w:name w:val="header"/>
    <w:aliases w:val="maria,h"/>
    <w:basedOn w:val="Normal"/>
    <w:link w:val="EncabezadoCar"/>
    <w:uiPriority w:val="99"/>
    <w:semiHidden/>
    <w:unhideWhenUsed/>
    <w:rsid w:val="00525CA1"/>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525CA1"/>
    <w:rPr>
      <w:rFonts w:ascii="Times New Roman" w:eastAsia="Times New Roman" w:hAnsi="Times New Roman" w:cs="Times New Roman"/>
      <w:sz w:val="20"/>
      <w:szCs w:val="20"/>
      <w:lang w:eastAsia="es-ES"/>
    </w:rPr>
  </w:style>
</w:styles>
</file>

<file path=word/webSettings.xml><?xml version="1.0" encoding="utf-8"?>
<w:webSettings xmlns:r="http://schemas.openxmlformats.org/officeDocument/2006/relationships" xmlns:w="http://schemas.openxmlformats.org/wordprocessingml/2006/main">
  <w:divs>
    <w:div w:id="2107843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17</Pages>
  <Words>6433</Words>
  <Characters>35382</Characters>
  <Application>Microsoft Office Word</Application>
  <DocSecurity>0</DocSecurity>
  <Lines>294</Lines>
  <Paragraphs>83</Paragraphs>
  <ScaleCrop>false</ScaleCrop>
  <Company/>
  <LinksUpToDate>false</LinksUpToDate>
  <CharactersWithSpaces>41732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jtorrico</dc:creator>
  <cp:keywords/>
  <dc:description/>
  <cp:lastModifiedBy>bcaceres</cp:lastModifiedBy>
  <cp:revision>2</cp:revision>
  <dcterms:created xsi:type="dcterms:W3CDTF">2011-07-12T19:25:00Z</dcterms:created>
  <dcterms:modified xsi:type="dcterms:W3CDTF">2011-08-15T16:24:00Z</dcterms:modified>
</cp:coreProperties>
</file>